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25468" w14:textId="52DF7DF5" w:rsidR="00EC4F75" w:rsidRPr="00EC4F75" w:rsidRDefault="00EC4F75" w:rsidP="00EC4F75">
      <w:pPr>
        <w:pStyle w:val="Header"/>
        <w:tabs>
          <w:tab w:val="right" w:pos="10440"/>
          <w:tab w:val="right" w:pos="13323"/>
        </w:tabs>
        <w:rPr>
          <w:rFonts w:cs="Arial"/>
          <w:noProof w:val="0"/>
          <w:sz w:val="24"/>
          <w:szCs w:val="24"/>
        </w:rPr>
      </w:pPr>
      <w:r>
        <w:rPr>
          <w:rFonts w:cs="Arial"/>
          <w:noProof w:val="0"/>
          <w:sz w:val="24"/>
          <w:szCs w:val="24"/>
        </w:rPr>
        <w:t xml:space="preserve">3GPP TSG-RAN WG4 Meeting </w:t>
      </w:r>
      <w:r w:rsidR="00281745">
        <w:rPr>
          <w:rFonts w:cs="Arial"/>
          <w:noProof w:val="0"/>
          <w:sz w:val="24"/>
          <w:szCs w:val="24"/>
        </w:rPr>
        <w:t>#86</w:t>
      </w:r>
      <w:r>
        <w:rPr>
          <w:rFonts w:cs="Arial"/>
          <w:noProof w:val="0"/>
          <w:sz w:val="24"/>
          <w:szCs w:val="24"/>
        </w:rPr>
        <w:t xml:space="preserve">    </w:t>
      </w:r>
      <w:r w:rsidR="00051364">
        <w:rPr>
          <w:rFonts w:cs="Arial"/>
          <w:noProof w:val="0"/>
          <w:sz w:val="24"/>
          <w:szCs w:val="24"/>
        </w:rPr>
        <w:t xml:space="preserve">                      </w:t>
      </w:r>
      <w:r w:rsidR="007653CB">
        <w:rPr>
          <w:rFonts w:cs="Arial"/>
          <w:noProof w:val="0"/>
          <w:sz w:val="24"/>
          <w:szCs w:val="24"/>
        </w:rPr>
        <w:t xml:space="preserve"> </w:t>
      </w:r>
      <w:r>
        <w:rPr>
          <w:rFonts w:cs="Arial"/>
          <w:noProof w:val="0"/>
          <w:sz w:val="24"/>
          <w:szCs w:val="24"/>
        </w:rPr>
        <w:t xml:space="preserve"> </w:t>
      </w:r>
      <w:r w:rsidR="009F23CF">
        <w:rPr>
          <w:rFonts w:cs="Arial"/>
          <w:noProof w:val="0"/>
          <w:sz w:val="24"/>
          <w:szCs w:val="24"/>
        </w:rPr>
        <w:t xml:space="preserve">  </w:t>
      </w:r>
      <w:r>
        <w:rPr>
          <w:rFonts w:cs="Arial"/>
          <w:noProof w:val="0"/>
          <w:sz w:val="24"/>
          <w:szCs w:val="24"/>
        </w:rPr>
        <w:t>R</w:t>
      </w:r>
      <w:r w:rsidR="00B11E84">
        <w:rPr>
          <w:rFonts w:cs="Arial"/>
          <w:noProof w:val="0"/>
          <w:sz w:val="24"/>
          <w:szCs w:val="24"/>
        </w:rPr>
        <w:t>4-</w:t>
      </w:r>
      <w:r w:rsidR="009F5006">
        <w:rPr>
          <w:rFonts w:cs="Arial"/>
          <w:noProof w:val="0"/>
          <w:sz w:val="24"/>
          <w:szCs w:val="24"/>
        </w:rPr>
        <w:t>18</w:t>
      </w:r>
      <w:r w:rsidR="00521DB9">
        <w:rPr>
          <w:rFonts w:cs="Arial"/>
          <w:noProof w:val="0"/>
          <w:sz w:val="24"/>
          <w:szCs w:val="24"/>
        </w:rPr>
        <w:t>01859</w:t>
      </w:r>
    </w:p>
    <w:p w14:paraId="046CE71C" w14:textId="62240FB1" w:rsidR="00EC4F75" w:rsidRPr="00EC4F75" w:rsidRDefault="00281745" w:rsidP="00EC4F75">
      <w:pPr>
        <w:pStyle w:val="Header"/>
        <w:tabs>
          <w:tab w:val="right" w:pos="9781"/>
          <w:tab w:val="right" w:pos="13323"/>
        </w:tabs>
        <w:outlineLvl w:val="0"/>
        <w:rPr>
          <w:rFonts w:cs="Arial"/>
          <w:noProof w:val="0"/>
          <w:sz w:val="24"/>
          <w:szCs w:val="24"/>
        </w:rPr>
      </w:pPr>
      <w:r>
        <w:rPr>
          <w:rFonts w:cs="Arial"/>
          <w:noProof w:val="0"/>
          <w:sz w:val="24"/>
          <w:szCs w:val="24"/>
        </w:rPr>
        <w:t>Athens</w:t>
      </w:r>
      <w:r w:rsidR="00EC4F75" w:rsidRPr="00EC4F75">
        <w:rPr>
          <w:rFonts w:cs="Arial"/>
          <w:noProof w:val="0"/>
          <w:sz w:val="24"/>
          <w:szCs w:val="24"/>
        </w:rPr>
        <w:t xml:space="preserve">, </w:t>
      </w:r>
      <w:r>
        <w:rPr>
          <w:rFonts w:cs="Arial"/>
          <w:noProof w:val="0"/>
          <w:sz w:val="24"/>
          <w:szCs w:val="24"/>
        </w:rPr>
        <w:t>Greece</w:t>
      </w:r>
      <w:r w:rsidR="00EC4F75" w:rsidRPr="00EC4F75">
        <w:rPr>
          <w:rFonts w:cs="Arial"/>
          <w:noProof w:val="0"/>
          <w:sz w:val="24"/>
          <w:szCs w:val="24"/>
        </w:rPr>
        <w:t xml:space="preserve">, </w:t>
      </w:r>
      <w:r>
        <w:rPr>
          <w:rFonts w:cs="Arial"/>
          <w:noProof w:val="0"/>
          <w:sz w:val="24"/>
          <w:szCs w:val="24"/>
        </w:rPr>
        <w:t>26 February</w:t>
      </w:r>
      <w:r w:rsidR="00B11E84">
        <w:rPr>
          <w:rFonts w:cs="Arial"/>
          <w:noProof w:val="0"/>
          <w:sz w:val="24"/>
          <w:szCs w:val="24"/>
        </w:rPr>
        <w:t xml:space="preserve"> </w:t>
      </w:r>
      <w:r>
        <w:rPr>
          <w:rFonts w:cs="Arial"/>
          <w:noProof w:val="0"/>
          <w:sz w:val="24"/>
          <w:szCs w:val="24"/>
        </w:rPr>
        <w:t>–</w:t>
      </w:r>
      <w:r w:rsidR="00EC4F75" w:rsidRPr="00EC4F75">
        <w:rPr>
          <w:rFonts w:cs="Arial"/>
          <w:noProof w:val="0"/>
          <w:sz w:val="24"/>
          <w:szCs w:val="24"/>
        </w:rPr>
        <w:t xml:space="preserve"> </w:t>
      </w:r>
      <w:r>
        <w:rPr>
          <w:rFonts w:cs="Arial"/>
          <w:noProof w:val="0"/>
          <w:sz w:val="24"/>
          <w:szCs w:val="24"/>
        </w:rPr>
        <w:t>3 March,</w:t>
      </w:r>
      <w:r w:rsidR="00EC4F75" w:rsidRPr="00EC4F75">
        <w:rPr>
          <w:rFonts w:cs="Arial"/>
          <w:noProof w:val="0"/>
          <w:sz w:val="24"/>
          <w:szCs w:val="24"/>
        </w:rPr>
        <w:t xml:space="preserve"> 201</w:t>
      </w:r>
      <w:r w:rsidR="00B11E84">
        <w:rPr>
          <w:rFonts w:cs="Arial"/>
          <w:noProof w:val="0"/>
          <w:sz w:val="24"/>
          <w:szCs w:val="24"/>
        </w:rPr>
        <w:t>8</w:t>
      </w:r>
    </w:p>
    <w:p w14:paraId="60EAE207" w14:textId="77777777" w:rsidR="00647B25" w:rsidRPr="0008103A" w:rsidRDefault="00647B25" w:rsidP="00647B25">
      <w:pPr>
        <w:rPr>
          <w:rFonts w:ascii="Arial" w:hAnsi="Arial" w:cs="Arial"/>
          <w:b/>
          <w:sz w:val="24"/>
          <w:szCs w:val="24"/>
        </w:rPr>
      </w:pPr>
    </w:p>
    <w:p w14:paraId="2DEE23F9" w14:textId="2CA1E834"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521DB9">
        <w:rPr>
          <w:rFonts w:ascii="Arial" w:hAnsi="Arial" w:cs="Arial"/>
          <w:b/>
          <w:sz w:val="24"/>
          <w:szCs w:val="24"/>
        </w:rPr>
        <w:t>7.6.4</w:t>
      </w:r>
    </w:p>
    <w:p w14:paraId="23E6E3D8" w14:textId="132EC736"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proofErr w:type="spellStart"/>
      <w:r w:rsidR="00651F66">
        <w:rPr>
          <w:rFonts w:ascii="Arial" w:hAnsi="Arial" w:cs="Arial"/>
          <w:b/>
          <w:sz w:val="24"/>
          <w:szCs w:val="24"/>
        </w:rPr>
        <w:t>Bluetest</w:t>
      </w:r>
      <w:proofErr w:type="spellEnd"/>
    </w:p>
    <w:p w14:paraId="6BBFADE2" w14:textId="42F0B655"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281745">
        <w:rPr>
          <w:rFonts w:ascii="Arial" w:hAnsi="Arial" w:cs="Arial"/>
          <w:b/>
          <w:sz w:val="24"/>
          <w:szCs w:val="24"/>
        </w:rPr>
        <w:t>Applicability of Reverberation Chamber Test Method to</w:t>
      </w:r>
      <w:r w:rsidR="00F252F4" w:rsidRPr="00F252F4">
        <w:rPr>
          <w:rFonts w:ascii="Arial" w:hAnsi="Arial" w:cs="Arial"/>
          <w:b/>
          <w:sz w:val="24"/>
          <w:szCs w:val="24"/>
        </w:rPr>
        <w:t xml:space="preserve"> </w:t>
      </w:r>
      <w:r w:rsidR="007508BB">
        <w:rPr>
          <w:rFonts w:ascii="Arial" w:hAnsi="Arial" w:cs="Arial"/>
          <w:b/>
          <w:sz w:val="24"/>
          <w:szCs w:val="24"/>
        </w:rPr>
        <w:t>UE New Radio RF</w:t>
      </w:r>
    </w:p>
    <w:p w14:paraId="337E9DD4" w14:textId="77777777"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F252F4">
        <w:rPr>
          <w:rFonts w:ascii="Arial" w:hAnsi="Arial" w:cs="Arial"/>
          <w:b/>
          <w:sz w:val="24"/>
          <w:szCs w:val="24"/>
        </w:rPr>
        <w:t>Approval</w:t>
      </w:r>
    </w:p>
    <w:p w14:paraId="1B79A90E" w14:textId="77777777" w:rsidR="00647B25" w:rsidRDefault="00647B25" w:rsidP="0008103A">
      <w:pPr>
        <w:pStyle w:val="Heading1"/>
      </w:pPr>
      <w:r w:rsidRPr="00647B25">
        <w:t>1</w:t>
      </w:r>
      <w:r w:rsidRPr="00647B25">
        <w:tab/>
        <w:t>Introduction</w:t>
      </w:r>
    </w:p>
    <w:p w14:paraId="25574C2A" w14:textId="6F51F69A" w:rsidR="00A016A5" w:rsidRDefault="00444B72" w:rsidP="00647B25">
      <w:pPr>
        <w:rPr>
          <w:rFonts w:eastAsia="Batang"/>
        </w:rPr>
      </w:pPr>
      <w:r>
        <w:rPr>
          <w:rFonts w:eastAsia="Batang"/>
        </w:rPr>
        <w:t>During the RAN</w:t>
      </w:r>
      <w:r w:rsidR="00DB4A9E">
        <w:rPr>
          <w:rFonts w:eastAsia="Batang"/>
        </w:rPr>
        <w:t>4</w:t>
      </w:r>
      <w:r>
        <w:rPr>
          <w:rFonts w:eastAsia="Batang"/>
        </w:rPr>
        <w:t xml:space="preserve"> </w:t>
      </w:r>
      <w:r w:rsidR="00281745">
        <w:rPr>
          <w:rFonts w:eastAsia="Batang"/>
        </w:rPr>
        <w:t>NR-AH-1801</w:t>
      </w:r>
      <w:r>
        <w:rPr>
          <w:rFonts w:eastAsia="Batang"/>
        </w:rPr>
        <w:t xml:space="preserve"> </w:t>
      </w:r>
      <w:r w:rsidR="00DB4A9E">
        <w:rPr>
          <w:rFonts w:eastAsia="Batang"/>
        </w:rPr>
        <w:t>a work plan on the study o</w:t>
      </w:r>
      <w:r w:rsidR="00281745">
        <w:rPr>
          <w:rFonts w:eastAsia="Batang"/>
        </w:rPr>
        <w:t xml:space="preserve">f alternative test methods was approved for UE NR work </w:t>
      </w:r>
      <w:r w:rsidR="00DB4A9E">
        <w:rPr>
          <w:rFonts w:eastAsia="Batang"/>
        </w:rPr>
        <w:t xml:space="preserve">[1]. </w:t>
      </w:r>
      <w:r w:rsidR="00281745">
        <w:rPr>
          <w:rFonts w:eastAsia="Batang"/>
        </w:rPr>
        <w:t>Where applicable, this would build on the framework of</w:t>
      </w:r>
      <w:r w:rsidR="00DB4A9E">
        <w:rPr>
          <w:rFonts w:eastAsia="Batang"/>
        </w:rPr>
        <w:t xml:space="preserve"> </w:t>
      </w:r>
      <w:r w:rsidR="00281745">
        <w:rPr>
          <w:rFonts w:eastAsia="Batang"/>
        </w:rPr>
        <w:t>the baseline method for</w:t>
      </w:r>
      <w:r w:rsidR="00DB4A9E">
        <w:rPr>
          <w:rFonts w:eastAsia="Batang"/>
        </w:rPr>
        <w:t xml:space="preserve"> 5G NR testability </w:t>
      </w:r>
      <w:r w:rsidR="00767BD1">
        <w:rPr>
          <w:rFonts w:eastAsia="Batang"/>
        </w:rPr>
        <w:t>a</w:t>
      </w:r>
      <w:r w:rsidR="00281745">
        <w:rPr>
          <w:rFonts w:eastAsia="Batang"/>
        </w:rPr>
        <w:t>s currently</w:t>
      </w:r>
      <w:r w:rsidR="00DB4A9E">
        <w:rPr>
          <w:rFonts w:eastAsia="Batang"/>
        </w:rPr>
        <w:t xml:space="preserve"> </w:t>
      </w:r>
      <w:r>
        <w:rPr>
          <w:rFonts w:eastAsia="Batang"/>
        </w:rPr>
        <w:t xml:space="preserve">captured in TR38.803 </w:t>
      </w:r>
      <w:r>
        <w:rPr>
          <w:rFonts w:eastAsia="Batang"/>
        </w:rPr>
        <w:fldChar w:fldCharType="begin"/>
      </w:r>
      <w:r>
        <w:rPr>
          <w:rFonts w:eastAsia="Batang"/>
        </w:rPr>
        <w:instrText xml:space="preserve"> REF _Ref466239739 \r \h </w:instrText>
      </w:r>
      <w:r>
        <w:rPr>
          <w:rFonts w:eastAsia="Batang"/>
        </w:rPr>
      </w:r>
      <w:r>
        <w:rPr>
          <w:rFonts w:eastAsia="Batang"/>
        </w:rPr>
        <w:fldChar w:fldCharType="separate"/>
      </w:r>
      <w:r>
        <w:rPr>
          <w:rFonts w:eastAsia="Batang"/>
        </w:rPr>
        <w:t>[2]</w:t>
      </w:r>
      <w:r>
        <w:rPr>
          <w:rFonts w:eastAsia="Batang"/>
        </w:rPr>
        <w:fldChar w:fldCharType="end"/>
      </w:r>
      <w:r w:rsidR="00DB4A9E">
        <w:rPr>
          <w:rFonts w:eastAsia="Batang"/>
        </w:rPr>
        <w:t xml:space="preserve">. </w:t>
      </w:r>
      <w:r w:rsidR="00767BD1">
        <w:rPr>
          <w:rFonts w:eastAsia="Batang"/>
        </w:rPr>
        <w:t>Since</w:t>
      </w:r>
      <w:r>
        <w:rPr>
          <w:rFonts w:eastAsia="Batang"/>
        </w:rPr>
        <w:t xml:space="preserve"> a new study on </w:t>
      </w:r>
      <w:r w:rsidR="00DB4A9E">
        <w:rPr>
          <w:rFonts w:eastAsia="Batang"/>
        </w:rPr>
        <w:t xml:space="preserve">alternative </w:t>
      </w:r>
      <w:r>
        <w:rPr>
          <w:rFonts w:eastAsia="Batang"/>
        </w:rPr>
        <w:t>test methods</w:t>
      </w:r>
      <w:r w:rsidR="00281745">
        <w:rPr>
          <w:rFonts w:eastAsia="Batang"/>
        </w:rPr>
        <w:t xml:space="preserve"> is initiated</w:t>
      </w:r>
      <w:r>
        <w:rPr>
          <w:rFonts w:eastAsia="Batang"/>
        </w:rPr>
        <w:t xml:space="preserve"> for </w:t>
      </w:r>
      <w:r w:rsidR="007508BB">
        <w:rPr>
          <w:rFonts w:eastAsia="Batang"/>
        </w:rPr>
        <w:t xml:space="preserve">testing RF requirements of UE </w:t>
      </w:r>
      <w:r>
        <w:rPr>
          <w:rFonts w:eastAsia="Batang"/>
        </w:rPr>
        <w:t>New Radio</w:t>
      </w:r>
      <w:r w:rsidR="00281745">
        <w:rPr>
          <w:rFonts w:eastAsia="Batang"/>
        </w:rPr>
        <w:t>,</w:t>
      </w:r>
      <w:r w:rsidR="00DB4A9E">
        <w:rPr>
          <w:rFonts w:eastAsia="Batang"/>
        </w:rPr>
        <w:t xml:space="preserve"> </w:t>
      </w:r>
      <w:r w:rsidR="00281745">
        <w:rPr>
          <w:rFonts w:eastAsia="Batang"/>
        </w:rPr>
        <w:t>t</w:t>
      </w:r>
      <w:r w:rsidR="00DB4A9E">
        <w:rPr>
          <w:rFonts w:eastAsia="Batang"/>
        </w:rPr>
        <w:t xml:space="preserve">his contribution </w:t>
      </w:r>
      <w:r w:rsidR="00476299">
        <w:rPr>
          <w:rFonts w:eastAsia="Batang"/>
        </w:rPr>
        <w:t xml:space="preserve">outlines a scope of </w:t>
      </w:r>
      <w:r w:rsidR="00717627">
        <w:rPr>
          <w:rFonts w:eastAsia="Batang"/>
        </w:rPr>
        <w:t>applicability</w:t>
      </w:r>
      <w:r w:rsidR="00476299">
        <w:rPr>
          <w:rFonts w:eastAsia="Batang"/>
        </w:rPr>
        <w:t xml:space="preserve"> for</w:t>
      </w:r>
      <w:r w:rsidR="00281745">
        <w:rPr>
          <w:rFonts w:eastAsia="Batang"/>
        </w:rPr>
        <w:t xml:space="preserve"> the reverberation chamber test method for UE NR work</w:t>
      </w:r>
      <w:r w:rsidR="00DB4A9E">
        <w:rPr>
          <w:rFonts w:eastAsia="Batang"/>
        </w:rPr>
        <w:t>.</w:t>
      </w:r>
    </w:p>
    <w:p w14:paraId="307B78D4" w14:textId="0EF5C980" w:rsidR="009905AB" w:rsidRDefault="009905AB" w:rsidP="00647B25">
      <w:pPr>
        <w:rPr>
          <w:rFonts w:eastAsia="Batang"/>
        </w:rPr>
      </w:pPr>
      <w:r>
        <w:rPr>
          <w:rFonts w:eastAsia="Batang"/>
        </w:rPr>
        <w:t xml:space="preserve">The Reverberation Chamber (RC) offers a fundamentally different approach to measuring complex radio systems and subsystems in an over-the-air (OTA) environment. In the RC, device capability is almost </w:t>
      </w:r>
      <w:r w:rsidR="007E0260">
        <w:rPr>
          <w:rFonts w:eastAsia="Batang"/>
        </w:rPr>
        <w:t xml:space="preserve">always </w:t>
      </w:r>
      <w:r>
        <w:rPr>
          <w:rFonts w:eastAsia="Batang"/>
        </w:rPr>
        <w:t xml:space="preserve">measured as a statistical summary after sampling device performance in a rich, complex multipath </w:t>
      </w:r>
      <w:r w:rsidR="007E0260">
        <w:rPr>
          <w:rFonts w:eastAsia="Batang"/>
        </w:rPr>
        <w:t>environment. This allows for rapid evaluation of some complex effects, but sometimes at the cost of specific underlying information. In the traditional RC, for example angle of arrival is randomized and essentially unknown, so actual patterns cannot be plotted even though the statistical effects of those patterns can be quickly and accurately measured.</w:t>
      </w:r>
    </w:p>
    <w:p w14:paraId="5A23E3F2" w14:textId="2113C588" w:rsidR="009905AB" w:rsidRDefault="00660880" w:rsidP="00647B25">
      <w:pPr>
        <w:rPr>
          <w:rFonts w:eastAsia="Batang"/>
        </w:rPr>
      </w:pPr>
      <w:r>
        <w:rPr>
          <w:rFonts w:eastAsia="Batang"/>
        </w:rPr>
        <w:t xml:space="preserve">RC principles have been well established in 3GPP and extensively discussed for many EUTRA and LTE applications, but </w:t>
      </w:r>
      <w:r w:rsidR="007E0260">
        <w:rPr>
          <w:rFonts w:eastAsia="Batang"/>
        </w:rPr>
        <w:t xml:space="preserve">NR introduces a wide variety of new test needs and measurement challenges. Some of these are </w:t>
      </w:r>
      <w:r w:rsidR="009F5361">
        <w:rPr>
          <w:rFonts w:eastAsia="Batang"/>
        </w:rPr>
        <w:t xml:space="preserve">(a.) </w:t>
      </w:r>
      <w:r w:rsidR="007E0260">
        <w:rPr>
          <w:rFonts w:eastAsia="Batang"/>
        </w:rPr>
        <w:t xml:space="preserve">solved </w:t>
      </w:r>
      <w:r w:rsidR="009F5361">
        <w:rPr>
          <w:rFonts w:eastAsia="Batang"/>
        </w:rPr>
        <w:t>already</w:t>
      </w:r>
      <w:r w:rsidR="007E0260">
        <w:rPr>
          <w:rFonts w:eastAsia="Batang"/>
        </w:rPr>
        <w:t xml:space="preserve"> b</w:t>
      </w:r>
      <w:r w:rsidR="009F5361">
        <w:rPr>
          <w:rFonts w:eastAsia="Batang"/>
        </w:rPr>
        <w:t>y</w:t>
      </w:r>
      <w:r w:rsidR="007E0260">
        <w:rPr>
          <w:rFonts w:eastAsia="Batang"/>
        </w:rPr>
        <w:t xml:space="preserve"> the RC method</w:t>
      </w:r>
      <w:r w:rsidR="009F5361">
        <w:rPr>
          <w:rFonts w:eastAsia="Batang"/>
        </w:rPr>
        <w:t>;</w:t>
      </w:r>
      <w:r w:rsidR="007E0260">
        <w:rPr>
          <w:rFonts w:eastAsia="Batang"/>
        </w:rPr>
        <w:t xml:space="preserve"> some may be </w:t>
      </w:r>
      <w:r w:rsidR="009F5361">
        <w:rPr>
          <w:rFonts w:eastAsia="Batang"/>
        </w:rPr>
        <w:t xml:space="preserve">(b.) </w:t>
      </w:r>
      <w:r w:rsidR="007E0260">
        <w:rPr>
          <w:rFonts w:eastAsia="Batang"/>
        </w:rPr>
        <w:t>solved</w:t>
      </w:r>
      <w:r w:rsidR="009F5361">
        <w:rPr>
          <w:rFonts w:eastAsia="Batang"/>
        </w:rPr>
        <w:t xml:space="preserve"> conveniently by RC but only after looking hard at underlying assumptions and perhaps evolving the test metric; some can best be (c.) solved with variants of the traditional RC approach; and some (d.) cannot be solved by RC easily and should be left to other methods. This document only tries to outline the items in (a.) and perhaps point to opportunities for (b.) but leave the other solutions for other contributions.</w:t>
      </w:r>
    </w:p>
    <w:p w14:paraId="2111A513" w14:textId="7492B185" w:rsidR="00792101" w:rsidRDefault="00792101" w:rsidP="00792101">
      <w:pPr>
        <w:pStyle w:val="Heading1"/>
        <w:rPr>
          <w:rFonts w:eastAsia="Batang"/>
        </w:rPr>
      </w:pPr>
      <w:r>
        <w:rPr>
          <w:rFonts w:eastAsia="Batang"/>
        </w:rPr>
        <w:t>2</w:t>
      </w:r>
      <w:r>
        <w:rPr>
          <w:rFonts w:eastAsia="Batang"/>
        </w:rPr>
        <w:tab/>
      </w:r>
      <w:r w:rsidR="00476299">
        <w:rPr>
          <w:rFonts w:eastAsia="Batang"/>
        </w:rPr>
        <w:t>Applicability</w:t>
      </w:r>
    </w:p>
    <w:p w14:paraId="1E915C14" w14:textId="4AE98A6A" w:rsidR="00476299" w:rsidRDefault="009F5361" w:rsidP="009F5361">
      <w:pPr>
        <w:pStyle w:val="Heading2"/>
        <w:rPr>
          <w:rFonts w:eastAsia="Batang"/>
        </w:rPr>
      </w:pPr>
      <w:r>
        <w:rPr>
          <w:rFonts w:eastAsia="Batang"/>
        </w:rPr>
        <w:t>2.1</w:t>
      </w:r>
      <w:r>
        <w:rPr>
          <w:rFonts w:eastAsia="Batang"/>
        </w:rPr>
        <w:tab/>
      </w:r>
      <w:r w:rsidR="00476299">
        <w:rPr>
          <w:rFonts w:eastAsia="Batang"/>
        </w:rPr>
        <w:t>Frequency Range Considerations</w:t>
      </w:r>
    </w:p>
    <w:p w14:paraId="03FB99EF" w14:textId="05685709" w:rsidR="005B43F7" w:rsidRDefault="005B43F7" w:rsidP="005B43F7">
      <w:pPr>
        <w:rPr>
          <w:rFonts w:eastAsia="Batang"/>
        </w:rPr>
      </w:pPr>
      <w:r>
        <w:rPr>
          <w:rFonts w:eastAsia="Batang"/>
        </w:rPr>
        <w:t>The frequency range of a reverberation chamber is primarily</w:t>
      </w:r>
      <w:r w:rsidR="00767BD1">
        <w:rPr>
          <w:rFonts w:eastAsia="Batang"/>
        </w:rPr>
        <w:t xml:space="preserve"> bounded</w:t>
      </w:r>
      <w:r>
        <w:rPr>
          <w:rFonts w:eastAsia="Batang"/>
        </w:rPr>
        <w:t xml:space="preserve"> at the lower end by the chamber dimensions. The smallest internal dimension of the chamber should be at least several multiples of the lowest signal wavelength. </w:t>
      </w:r>
      <w:r w:rsidR="004F545D">
        <w:rPr>
          <w:rFonts w:eastAsia="Batang"/>
        </w:rPr>
        <w:t>Clearly</w:t>
      </w:r>
      <w:r>
        <w:rPr>
          <w:rFonts w:eastAsia="Batang"/>
        </w:rPr>
        <w:t xml:space="preserve"> this </w:t>
      </w:r>
      <w:r w:rsidR="004F545D">
        <w:rPr>
          <w:rFonts w:eastAsia="Batang"/>
        </w:rPr>
        <w:t>boundary condition</w:t>
      </w:r>
      <w:r>
        <w:rPr>
          <w:rFonts w:eastAsia="Batang"/>
        </w:rPr>
        <w:t xml:space="preserve"> does not apply as the frequency goes up</w:t>
      </w:r>
      <w:r w:rsidR="00767BD1">
        <w:rPr>
          <w:rFonts w:eastAsia="Batang"/>
        </w:rPr>
        <w:t xml:space="preserve"> and </w:t>
      </w:r>
      <w:r>
        <w:rPr>
          <w:rFonts w:eastAsia="Batang"/>
        </w:rPr>
        <w:t xml:space="preserve">theoretically there is no upward </w:t>
      </w:r>
      <w:r w:rsidR="004F545D">
        <w:rPr>
          <w:rFonts w:eastAsia="Batang"/>
        </w:rPr>
        <w:t xml:space="preserve">frequency </w:t>
      </w:r>
      <w:r>
        <w:rPr>
          <w:rFonts w:eastAsia="Batang"/>
        </w:rPr>
        <w:t>bound</w:t>
      </w:r>
      <w:r w:rsidR="004F545D">
        <w:rPr>
          <w:rFonts w:eastAsia="Batang"/>
        </w:rPr>
        <w:t xml:space="preserve"> in the RC</w:t>
      </w:r>
      <w:r>
        <w:rPr>
          <w:rFonts w:eastAsia="Batang"/>
        </w:rPr>
        <w:t>. Practically, of course, the upper frequency is</w:t>
      </w:r>
      <w:r w:rsidR="004F545D">
        <w:rPr>
          <w:rFonts w:eastAsia="Batang"/>
        </w:rPr>
        <w:t xml:space="preserve"> </w:t>
      </w:r>
      <w:r>
        <w:rPr>
          <w:rFonts w:eastAsia="Batang"/>
        </w:rPr>
        <w:t xml:space="preserve">limited by the chamber’s source antennas, cables, connectors </w:t>
      </w:r>
      <w:r w:rsidR="004F545D">
        <w:rPr>
          <w:rFonts w:eastAsia="Batang"/>
        </w:rPr>
        <w:t xml:space="preserve">and </w:t>
      </w:r>
      <w:r>
        <w:rPr>
          <w:rFonts w:eastAsia="Batang"/>
        </w:rPr>
        <w:t>isolation requirements.</w:t>
      </w:r>
    </w:p>
    <w:p w14:paraId="3AA36B62" w14:textId="00A705CF" w:rsidR="004F545D" w:rsidRPr="005B43F7" w:rsidRDefault="005B43F7" w:rsidP="005B43F7">
      <w:pPr>
        <w:rPr>
          <w:rFonts w:eastAsia="Batang"/>
        </w:rPr>
      </w:pPr>
      <w:r>
        <w:rPr>
          <w:rFonts w:eastAsia="Batang"/>
        </w:rPr>
        <w:t>Chamber loss is</w:t>
      </w:r>
      <w:r w:rsidR="00767BD1">
        <w:rPr>
          <w:rFonts w:eastAsia="Batang"/>
        </w:rPr>
        <w:t xml:space="preserve"> one of the largest factors in the overall test system link budget – especially at microwave frequencies</w:t>
      </w:r>
      <w:r>
        <w:rPr>
          <w:rFonts w:eastAsia="Batang"/>
        </w:rPr>
        <w:t xml:space="preserve">. </w:t>
      </w:r>
      <w:r w:rsidR="00767BD1">
        <w:rPr>
          <w:rFonts w:eastAsia="Batang"/>
        </w:rPr>
        <w:t xml:space="preserve">Chamber loss in </w:t>
      </w:r>
      <w:r w:rsidR="004F545D">
        <w:rPr>
          <w:rFonts w:eastAsia="Batang"/>
        </w:rPr>
        <w:t xml:space="preserve">RC </w:t>
      </w:r>
      <w:r w:rsidR="00767BD1">
        <w:rPr>
          <w:rFonts w:eastAsia="Batang"/>
        </w:rPr>
        <w:t>is usually a function of f</w:t>
      </w:r>
      <w:r>
        <w:rPr>
          <w:rFonts w:eastAsia="Batang"/>
        </w:rPr>
        <w:t>requenc</w:t>
      </w:r>
      <w:r w:rsidR="00767BD1">
        <w:rPr>
          <w:rFonts w:eastAsia="Batang"/>
        </w:rPr>
        <w:t>y and</w:t>
      </w:r>
      <w:r w:rsidR="004F545D">
        <w:rPr>
          <w:rFonts w:eastAsia="Batang"/>
        </w:rPr>
        <w:t xml:space="preserve"> </w:t>
      </w:r>
      <w:r>
        <w:rPr>
          <w:rFonts w:eastAsia="Batang"/>
        </w:rPr>
        <w:t xml:space="preserve">chamber size. The distance loss </w:t>
      </w:r>
      <w:r w:rsidR="00767BD1">
        <w:rPr>
          <w:rFonts w:eastAsia="Batang"/>
        </w:rPr>
        <w:t>in</w:t>
      </w:r>
      <w:r>
        <w:rPr>
          <w:rFonts w:eastAsia="Batang"/>
        </w:rPr>
        <w:t xml:space="preserve"> air </w:t>
      </w:r>
      <w:r w:rsidR="004F545D">
        <w:rPr>
          <w:rFonts w:eastAsia="Batang"/>
        </w:rPr>
        <w:t xml:space="preserve">versus frequency </w:t>
      </w:r>
      <w:r w:rsidR="00767BD1">
        <w:rPr>
          <w:rFonts w:eastAsia="Batang"/>
        </w:rPr>
        <w:t xml:space="preserve">in the chamber </w:t>
      </w:r>
      <w:r>
        <w:rPr>
          <w:rFonts w:eastAsia="Batang"/>
        </w:rPr>
        <w:t>is a well</w:t>
      </w:r>
      <w:r w:rsidR="004F545D">
        <w:rPr>
          <w:rFonts w:eastAsia="Batang"/>
        </w:rPr>
        <w:t>-</w:t>
      </w:r>
      <w:r>
        <w:rPr>
          <w:rFonts w:eastAsia="Batang"/>
        </w:rPr>
        <w:t>known function which is easily</w:t>
      </w:r>
      <w:r w:rsidR="004F545D">
        <w:rPr>
          <w:rFonts w:eastAsia="Batang"/>
        </w:rPr>
        <w:t xml:space="preserve"> simulated or measured.</w:t>
      </w:r>
    </w:p>
    <w:p w14:paraId="2D07F965" w14:textId="2DA2479F" w:rsidR="009F5361" w:rsidRDefault="009F5361" w:rsidP="009F5361">
      <w:pPr>
        <w:pStyle w:val="Heading2"/>
        <w:rPr>
          <w:rFonts w:eastAsia="Batang"/>
        </w:rPr>
      </w:pPr>
      <w:r>
        <w:rPr>
          <w:rFonts w:eastAsia="Batang"/>
        </w:rPr>
        <w:lastRenderedPageBreak/>
        <w:t>2.2</w:t>
      </w:r>
      <w:r>
        <w:rPr>
          <w:rFonts w:eastAsia="Batang"/>
        </w:rPr>
        <w:tab/>
      </w:r>
      <w:r w:rsidR="00476299">
        <w:rPr>
          <w:rFonts w:eastAsia="Batang"/>
        </w:rPr>
        <w:t>Test Zone</w:t>
      </w:r>
    </w:p>
    <w:p w14:paraId="45A25B61" w14:textId="72EBA54A" w:rsidR="004F545D" w:rsidRDefault="004F545D" w:rsidP="004F545D">
      <w:pPr>
        <w:rPr>
          <w:rFonts w:eastAsia="Batang"/>
        </w:rPr>
      </w:pPr>
      <w:r>
        <w:rPr>
          <w:rFonts w:eastAsia="Batang"/>
        </w:rPr>
        <w:t>As the frequency range increases, in most cases the usable test zone volume also gets larger. The test zone in the reverberation chamber is how much</w:t>
      </w:r>
      <w:r w:rsidR="00170D3A">
        <w:rPr>
          <w:rFonts w:eastAsia="Batang"/>
        </w:rPr>
        <w:t xml:space="preserve"> of the interior</w:t>
      </w:r>
      <w:r>
        <w:rPr>
          <w:rFonts w:eastAsia="Batang"/>
        </w:rPr>
        <w:t xml:space="preserve"> </w:t>
      </w:r>
      <w:r w:rsidR="00170D3A">
        <w:rPr>
          <w:rFonts w:eastAsia="Batang"/>
        </w:rPr>
        <w:t>space can reliably expose the DUT to the full distribution of multipath signal variations. A general rule of thumb, for example, is to stay 0.5 wavelengths away from any metal surface of the chamber and more than 0.7 wavelengths away from absorber. As the wavelength gets small the available space in the chamber then increases.</w:t>
      </w:r>
    </w:p>
    <w:p w14:paraId="5530EAF0" w14:textId="7733AEFB" w:rsidR="00170D3A" w:rsidRPr="004F545D" w:rsidRDefault="00170D3A" w:rsidP="004F545D">
      <w:pPr>
        <w:rPr>
          <w:rFonts w:eastAsia="Batang"/>
        </w:rPr>
      </w:pPr>
      <w:r>
        <w:rPr>
          <w:rFonts w:eastAsia="Batang"/>
        </w:rPr>
        <w:t>Because this method samples wide variations in phase and amplitude very rapidly, test zone terms of other methods like “phase center”, “test zone ripple”, or “DUT placement accuracy” do not apply in the same way. This can significantly change the measurement uncertainty trade-off</w:t>
      </w:r>
      <w:r w:rsidR="00660880">
        <w:rPr>
          <w:rFonts w:eastAsia="Batang"/>
        </w:rPr>
        <w:t>s and application scope</w:t>
      </w:r>
      <w:r>
        <w:rPr>
          <w:rFonts w:eastAsia="Batang"/>
        </w:rPr>
        <w:t xml:space="preserve"> for certain types of</w:t>
      </w:r>
      <w:r w:rsidR="00660880">
        <w:rPr>
          <w:rFonts w:eastAsia="Batang"/>
        </w:rPr>
        <w:t xml:space="preserve"> devices and</w:t>
      </w:r>
      <w:r>
        <w:rPr>
          <w:rFonts w:eastAsia="Batang"/>
        </w:rPr>
        <w:t xml:space="preserve"> measurements.</w:t>
      </w:r>
      <w:r w:rsidR="00660880">
        <w:rPr>
          <w:rFonts w:eastAsia="Batang"/>
        </w:rPr>
        <w:t xml:space="preserve"> Typically, the RC can more easily accommodate a much broader class of DUT size and complexity, but at a cost of some measurement applicability.</w:t>
      </w:r>
    </w:p>
    <w:p w14:paraId="424C2759" w14:textId="77777777" w:rsidR="004F545D" w:rsidRPr="004F545D" w:rsidRDefault="004F545D" w:rsidP="004F545D">
      <w:pPr>
        <w:rPr>
          <w:rFonts w:eastAsia="Batang"/>
        </w:rPr>
      </w:pPr>
    </w:p>
    <w:p w14:paraId="3AB12DBC" w14:textId="14CCDCFB" w:rsidR="00476299" w:rsidRDefault="009F5361" w:rsidP="009F5361">
      <w:pPr>
        <w:pStyle w:val="Heading2"/>
        <w:rPr>
          <w:rFonts w:eastAsia="Batang"/>
        </w:rPr>
      </w:pPr>
      <w:r>
        <w:rPr>
          <w:rFonts w:eastAsia="Batang"/>
        </w:rPr>
        <w:t>2.3</w:t>
      </w:r>
      <w:r>
        <w:rPr>
          <w:rFonts w:eastAsia="Batang"/>
        </w:rPr>
        <w:tab/>
      </w:r>
      <w:r w:rsidR="00476299">
        <w:rPr>
          <w:rFonts w:eastAsia="Batang"/>
        </w:rPr>
        <w:t>TRP</w:t>
      </w:r>
    </w:p>
    <w:p w14:paraId="12463E29" w14:textId="43B6C895" w:rsidR="00660880" w:rsidRDefault="00660880" w:rsidP="00660880">
      <w:pPr>
        <w:rPr>
          <w:rFonts w:eastAsia="Batang"/>
        </w:rPr>
      </w:pPr>
      <w:r>
        <w:rPr>
          <w:rFonts w:eastAsia="Batang"/>
        </w:rPr>
        <w:t xml:space="preserve">The TRP measurement for NR FR2 is unchanged in the Reverberation Chamber method. New applications of TRP-based measurements in the NR work can be adopted quickly but work is needed to adopt the existing standardized methods of chamber validation and measurement uncertainty </w:t>
      </w:r>
      <w:r w:rsidR="00015B0B">
        <w:rPr>
          <w:rFonts w:eastAsia="Batang"/>
        </w:rPr>
        <w:t>to the higher frequencies. In general</w:t>
      </w:r>
      <w:r w:rsidR="00945687">
        <w:rPr>
          <w:rFonts w:eastAsia="Batang"/>
        </w:rPr>
        <w:t>,</w:t>
      </w:r>
      <w:r w:rsidR="00015B0B">
        <w:rPr>
          <w:rFonts w:eastAsia="Batang"/>
        </w:rPr>
        <w:t xml:space="preserve"> these adaptations need to consider things like:</w:t>
      </w:r>
    </w:p>
    <w:p w14:paraId="29B4B9E5" w14:textId="7F50FAC7" w:rsidR="00015B0B" w:rsidRDefault="00015B0B" w:rsidP="00660880">
      <w:pPr>
        <w:rPr>
          <w:rFonts w:eastAsia="Batang"/>
        </w:rPr>
      </w:pPr>
      <w:r>
        <w:rPr>
          <w:rFonts w:eastAsia="Batang"/>
        </w:rPr>
        <w:t>Potentially higher signal variance in dynamic high gain DUT front ends. This MU could be compensated for by increased sampling.</w:t>
      </w:r>
    </w:p>
    <w:p w14:paraId="60B1B0B5" w14:textId="59CF0420" w:rsidR="00015B0B" w:rsidRDefault="00015B0B" w:rsidP="00660880">
      <w:pPr>
        <w:rPr>
          <w:rFonts w:eastAsia="Batang"/>
        </w:rPr>
      </w:pPr>
      <w:r>
        <w:rPr>
          <w:rFonts w:eastAsia="Batang"/>
        </w:rPr>
        <w:t>Many samples have low signal values which can have higher uncertainties in the measurement equipment – especially in FR2 ranges. This MU skew is not difficult to model and its impact on overall MU is expected to be small, but the estimate is still TBD.</w:t>
      </w:r>
    </w:p>
    <w:p w14:paraId="5BF23766" w14:textId="68198F1F" w:rsidR="00945687" w:rsidRPr="00660880" w:rsidRDefault="00945687" w:rsidP="00660880">
      <w:pPr>
        <w:rPr>
          <w:rFonts w:eastAsia="Batang"/>
        </w:rPr>
      </w:pPr>
      <w:r>
        <w:rPr>
          <w:rFonts w:eastAsia="Batang"/>
        </w:rPr>
        <w:t>RC is a good fit for TRP applications at all proposed NR frequencies.</w:t>
      </w:r>
    </w:p>
    <w:p w14:paraId="31998D0E" w14:textId="0CD43A4A" w:rsidR="00476299" w:rsidRDefault="009F5361" w:rsidP="009F5361">
      <w:pPr>
        <w:pStyle w:val="Heading2"/>
        <w:rPr>
          <w:rFonts w:eastAsia="Batang"/>
        </w:rPr>
      </w:pPr>
      <w:r>
        <w:rPr>
          <w:rFonts w:eastAsia="Batang"/>
        </w:rPr>
        <w:t>2.4</w:t>
      </w:r>
      <w:r>
        <w:rPr>
          <w:rFonts w:eastAsia="Batang"/>
        </w:rPr>
        <w:tab/>
      </w:r>
      <w:r w:rsidR="00476299">
        <w:rPr>
          <w:rFonts w:eastAsia="Batang"/>
        </w:rPr>
        <w:t>TIS</w:t>
      </w:r>
    </w:p>
    <w:p w14:paraId="44CCD444" w14:textId="6635935A" w:rsidR="00015B0B" w:rsidRDefault="00015B0B" w:rsidP="00015B0B">
      <w:pPr>
        <w:rPr>
          <w:rFonts w:eastAsia="Batang"/>
        </w:rPr>
      </w:pPr>
      <w:r>
        <w:rPr>
          <w:rFonts w:eastAsia="Batang"/>
        </w:rPr>
        <w:t>TIS is theoretically comparable to TIS above. And in practice</w:t>
      </w:r>
      <w:r w:rsidR="00945687">
        <w:rPr>
          <w:rFonts w:eastAsia="Batang"/>
        </w:rPr>
        <w:t xml:space="preserve"> the RC method is also the same. The low power nature of many practical TIS measurements can create some challenges – many of which have already been solved for RC in LTE with advanced sampling techniques, distribution estimation, RS(S)I conversion, and TPUT-based</w:t>
      </w:r>
      <w:r w:rsidR="00767BD1">
        <w:rPr>
          <w:rFonts w:eastAsia="Batang"/>
        </w:rPr>
        <w:t xml:space="preserve"> TIS</w:t>
      </w:r>
      <w:r w:rsidR="00945687">
        <w:rPr>
          <w:rFonts w:eastAsia="Batang"/>
        </w:rPr>
        <w:t xml:space="preserve"> measurements.</w:t>
      </w:r>
    </w:p>
    <w:p w14:paraId="3A408CF4" w14:textId="44F3454F" w:rsidR="00945687" w:rsidRPr="00015B0B" w:rsidRDefault="00945687" w:rsidP="00015B0B">
      <w:pPr>
        <w:rPr>
          <w:rFonts w:eastAsia="Batang"/>
        </w:rPr>
      </w:pPr>
      <w:r>
        <w:rPr>
          <w:rFonts w:eastAsia="Batang"/>
        </w:rPr>
        <w:t>RC is a good fit for TIS applications at all proposed NR frequencies</w:t>
      </w:r>
    </w:p>
    <w:p w14:paraId="766D44C9" w14:textId="5639D0A6" w:rsidR="00476299" w:rsidRDefault="009F5361" w:rsidP="009F5361">
      <w:pPr>
        <w:pStyle w:val="Heading2"/>
        <w:rPr>
          <w:rFonts w:eastAsia="Batang"/>
        </w:rPr>
      </w:pPr>
      <w:r>
        <w:rPr>
          <w:rFonts w:eastAsia="Batang"/>
        </w:rPr>
        <w:t>2.5</w:t>
      </w:r>
      <w:r>
        <w:rPr>
          <w:rFonts w:eastAsia="Batang"/>
        </w:rPr>
        <w:tab/>
      </w:r>
      <w:r w:rsidR="00476299">
        <w:rPr>
          <w:rFonts w:eastAsia="Batang"/>
        </w:rPr>
        <w:t>EIRP</w:t>
      </w:r>
    </w:p>
    <w:p w14:paraId="0AD471B4" w14:textId="798E72EE" w:rsidR="004903AC" w:rsidRDefault="00945687" w:rsidP="00945687">
      <w:pPr>
        <w:rPr>
          <w:rFonts w:eastAsia="Batang"/>
        </w:rPr>
      </w:pPr>
      <w:r>
        <w:rPr>
          <w:rFonts w:eastAsia="Batang"/>
        </w:rPr>
        <w:t>EIRP is essentially a measure of antenna gain at a given direction. As such, the traditional RC is not a good fit for single EIRP measurement results. It is important to not</w:t>
      </w:r>
      <w:r w:rsidR="00B43D02">
        <w:rPr>
          <w:rFonts w:eastAsia="Batang"/>
        </w:rPr>
        <w:t>e</w:t>
      </w:r>
      <w:r>
        <w:rPr>
          <w:rFonts w:eastAsia="Batang"/>
        </w:rPr>
        <w:t xml:space="preserve"> here, that the RC </w:t>
      </w:r>
      <w:r w:rsidRPr="00B43D02">
        <w:rPr>
          <w:rFonts w:eastAsia="Batang"/>
          <w:i/>
        </w:rPr>
        <w:t>does</w:t>
      </w:r>
      <w:r>
        <w:rPr>
          <w:rFonts w:eastAsia="Batang"/>
        </w:rPr>
        <w:t xml:space="preserve"> measure </w:t>
      </w:r>
      <w:r w:rsidR="00B43D02">
        <w:rPr>
          <w:rFonts w:eastAsia="Batang"/>
        </w:rPr>
        <w:t xml:space="preserve">the equivalent of a randomized set of EIPR results and therefore CDFs of EIRP are well within the method’s capability. </w:t>
      </w:r>
      <w:r w:rsidR="004903AC">
        <w:rPr>
          <w:rFonts w:eastAsia="Batang"/>
        </w:rPr>
        <w:t>The speed of randomly sampling EIRPs in a 3D environment can be very helpful for some NR measurement needs.</w:t>
      </w:r>
    </w:p>
    <w:p w14:paraId="030645F4" w14:textId="389673A1" w:rsidR="00945687" w:rsidRDefault="00B43D02" w:rsidP="00945687">
      <w:pPr>
        <w:rPr>
          <w:rFonts w:eastAsia="Batang"/>
        </w:rPr>
      </w:pPr>
      <w:r>
        <w:rPr>
          <w:rFonts w:eastAsia="Batang"/>
        </w:rPr>
        <w:t xml:space="preserve">Although CDFs of EIRP are very closely related to well established reverberation chamber methods like diversity gain, there isn’t the same body of standards history, standards documentation, measurement uncertainty tables and cross-method harmonization data at the moment for </w:t>
      </w:r>
      <w:r w:rsidR="00767BD1">
        <w:rPr>
          <w:rFonts w:eastAsia="Batang"/>
        </w:rPr>
        <w:t>measuring</w:t>
      </w:r>
      <w:r>
        <w:rPr>
          <w:rFonts w:eastAsia="Batang"/>
        </w:rPr>
        <w:t xml:space="preserve"> CDF of EIRP as, say, TRP and TIS</w:t>
      </w:r>
      <w:r w:rsidR="00767BD1">
        <w:rPr>
          <w:rFonts w:eastAsia="Batang"/>
        </w:rPr>
        <w:t xml:space="preserve"> in the reverberation chamber.</w:t>
      </w:r>
    </w:p>
    <w:p w14:paraId="6FB4A23C" w14:textId="599EBD07" w:rsidR="00B43D02" w:rsidRPr="00945687" w:rsidRDefault="00B43D02" w:rsidP="00945687">
      <w:pPr>
        <w:rPr>
          <w:rFonts w:eastAsia="Batang"/>
        </w:rPr>
      </w:pPr>
      <w:r>
        <w:rPr>
          <w:rFonts w:eastAsia="Batang"/>
        </w:rPr>
        <w:lastRenderedPageBreak/>
        <w:t>RC is a good fit for CDFs of EIRP, but currently, text definitions will have more TBD’s than TRP and TIS measurements.</w:t>
      </w:r>
    </w:p>
    <w:p w14:paraId="1F8CAE91" w14:textId="39C69B69" w:rsidR="00476299" w:rsidRDefault="009F5361" w:rsidP="009F5361">
      <w:pPr>
        <w:pStyle w:val="Heading2"/>
        <w:rPr>
          <w:rFonts w:eastAsia="Batang"/>
        </w:rPr>
      </w:pPr>
      <w:r>
        <w:rPr>
          <w:rFonts w:eastAsia="Batang"/>
        </w:rPr>
        <w:t>2.6</w:t>
      </w:r>
      <w:r>
        <w:rPr>
          <w:rFonts w:eastAsia="Batang"/>
        </w:rPr>
        <w:tab/>
      </w:r>
      <w:r w:rsidR="00476299">
        <w:rPr>
          <w:rFonts w:eastAsia="Batang"/>
        </w:rPr>
        <w:t>EIS</w:t>
      </w:r>
    </w:p>
    <w:p w14:paraId="1344CF7B" w14:textId="092C0FBD" w:rsidR="00B43D02" w:rsidRDefault="00B43D02" w:rsidP="00B43D02">
      <w:pPr>
        <w:rPr>
          <w:rFonts w:eastAsia="Batang"/>
        </w:rPr>
      </w:pPr>
      <w:r>
        <w:rPr>
          <w:rFonts w:eastAsia="Batang"/>
        </w:rPr>
        <w:t xml:space="preserve">Same limitations </w:t>
      </w:r>
      <w:r w:rsidR="004903AC">
        <w:rPr>
          <w:rFonts w:eastAsia="Batang"/>
        </w:rPr>
        <w:t>as EIRP apply here for EIS. The RC is not a good fit for single-point EIS measurements. Where a CDF of EIS can be used, the RC will be very useful. Additional measurement uncertainties may apply at the low power that some EIS measurements demand.</w:t>
      </w:r>
    </w:p>
    <w:p w14:paraId="7A647A68" w14:textId="390A687C" w:rsidR="004903AC" w:rsidRPr="00B43D02" w:rsidRDefault="004903AC" w:rsidP="00B43D02">
      <w:pPr>
        <w:rPr>
          <w:rFonts w:eastAsia="Batang"/>
        </w:rPr>
      </w:pPr>
      <w:r>
        <w:rPr>
          <w:rFonts w:eastAsia="Batang"/>
        </w:rPr>
        <w:t>RC is a good fit only for CDFs of EIS and its variations. More work needed here.</w:t>
      </w:r>
    </w:p>
    <w:p w14:paraId="4D1E2593" w14:textId="5F573407" w:rsidR="00476299" w:rsidRDefault="009F5361" w:rsidP="009F5361">
      <w:pPr>
        <w:pStyle w:val="Heading2"/>
        <w:rPr>
          <w:rFonts w:eastAsia="Batang"/>
        </w:rPr>
      </w:pPr>
      <w:r>
        <w:rPr>
          <w:rFonts w:eastAsia="Batang"/>
        </w:rPr>
        <w:t>2.7</w:t>
      </w:r>
      <w:r>
        <w:rPr>
          <w:rFonts w:eastAsia="Batang"/>
        </w:rPr>
        <w:tab/>
      </w:r>
      <w:r w:rsidR="00476299">
        <w:rPr>
          <w:rFonts w:eastAsia="Batang"/>
        </w:rPr>
        <w:t>Throughput-based Metrics</w:t>
      </w:r>
    </w:p>
    <w:p w14:paraId="3FC5BBF7" w14:textId="3A8C6CC0" w:rsidR="006A3A6B" w:rsidRDefault="004903AC" w:rsidP="004903AC">
      <w:pPr>
        <w:rPr>
          <w:rFonts w:eastAsia="Batang"/>
        </w:rPr>
      </w:pPr>
      <w:r>
        <w:rPr>
          <w:rFonts w:eastAsia="Batang"/>
        </w:rPr>
        <w:t>Throughput-based metrics are still being defined for OTA NR, but generally</w:t>
      </w:r>
      <w:r w:rsidR="00845747">
        <w:rPr>
          <w:rFonts w:eastAsia="Batang"/>
        </w:rPr>
        <w:t>,</w:t>
      </w:r>
      <w:r>
        <w:rPr>
          <w:rFonts w:eastAsia="Batang"/>
        </w:rPr>
        <w:t xml:space="preserve"> they are </w:t>
      </w:r>
      <w:r w:rsidR="0051468C">
        <w:rPr>
          <w:rFonts w:eastAsia="Batang"/>
        </w:rPr>
        <w:t>applications of the TRP/TIS and EIRP/EIS measurements above.</w:t>
      </w:r>
    </w:p>
    <w:p w14:paraId="2F73DD0A" w14:textId="22137B01" w:rsidR="004903AC" w:rsidRDefault="0051468C" w:rsidP="004903AC">
      <w:pPr>
        <w:rPr>
          <w:rFonts w:eastAsia="Batang"/>
        </w:rPr>
      </w:pPr>
      <w:r>
        <w:rPr>
          <w:rFonts w:eastAsia="Batang"/>
        </w:rPr>
        <w:t>To determine RC applicability criterion</w:t>
      </w:r>
      <w:r w:rsidR="00B02C88">
        <w:rPr>
          <w:rFonts w:eastAsia="Batang"/>
        </w:rPr>
        <w:t>, first evaluate if the TPUT application is exclusive dependent on a single, known directional component</w:t>
      </w:r>
      <w:r w:rsidR="006A3A6B">
        <w:rPr>
          <w:rFonts w:eastAsia="Batang"/>
        </w:rPr>
        <w:t xml:space="preserve"> – to the exclusion of other directional factors. If so, the RC is likely not applicable to that application. The RC is likely applicable to TPUT measurements which summarize device characteristics over a wide range of directional and signal characteristics. Care must be taken that NR measurements not be too narrowly, or too broadly defined because of test method perspective.</w:t>
      </w:r>
    </w:p>
    <w:p w14:paraId="6062A0F7" w14:textId="25E74FA4" w:rsidR="006A3A6B" w:rsidRPr="004903AC" w:rsidRDefault="006A3A6B" w:rsidP="004903AC">
      <w:pPr>
        <w:rPr>
          <w:rFonts w:eastAsia="Batang"/>
        </w:rPr>
      </w:pPr>
      <w:r>
        <w:rPr>
          <w:rFonts w:eastAsia="Batang"/>
        </w:rPr>
        <w:t xml:space="preserve">Conclusion: RC method applicability for TPUT measurements should use </w:t>
      </w:r>
      <w:r w:rsidR="00642A23">
        <w:rPr>
          <w:rFonts w:eastAsia="Batang"/>
        </w:rPr>
        <w:t xml:space="preserve">reasonable </w:t>
      </w:r>
      <w:r>
        <w:rPr>
          <w:rFonts w:eastAsia="Batang"/>
        </w:rPr>
        <w:t>TRP and EIRP</w:t>
      </w:r>
      <w:r w:rsidR="00642A23">
        <w:rPr>
          <w:rFonts w:eastAsia="Batang"/>
        </w:rPr>
        <w:t xml:space="preserve"> guidelines depending on the underlying application.</w:t>
      </w:r>
    </w:p>
    <w:p w14:paraId="3079F408" w14:textId="35E70F09" w:rsidR="00476299" w:rsidRDefault="009F5361" w:rsidP="009F5361">
      <w:pPr>
        <w:pStyle w:val="Heading2"/>
        <w:rPr>
          <w:rFonts w:eastAsia="Batang"/>
        </w:rPr>
      </w:pPr>
      <w:r>
        <w:rPr>
          <w:rFonts w:eastAsia="Batang"/>
        </w:rPr>
        <w:t>2.8</w:t>
      </w:r>
      <w:r>
        <w:rPr>
          <w:rFonts w:eastAsia="Batang"/>
        </w:rPr>
        <w:tab/>
      </w:r>
      <w:r w:rsidR="00476299">
        <w:rPr>
          <w:rFonts w:eastAsia="Batang"/>
        </w:rPr>
        <w:t>Static Beamforming Applications</w:t>
      </w:r>
    </w:p>
    <w:p w14:paraId="7C38988B" w14:textId="59F476B2" w:rsidR="00642A23" w:rsidRDefault="00642A23" w:rsidP="00642A23">
      <w:pPr>
        <w:rPr>
          <w:rFonts w:eastAsia="Batang"/>
        </w:rPr>
      </w:pPr>
      <w:r>
        <w:rPr>
          <w:rFonts w:eastAsia="Batang"/>
        </w:rPr>
        <w:t xml:space="preserve">A large number of static beamforming functionality can be divided into EIRP and Summary-of-EIRP (or CDF or EIRP) classes of measurements. For example, the traditional RC is currently not a good fit for some static beamforming measurements like boresight gain or 3dB </w:t>
      </w:r>
      <w:proofErr w:type="spellStart"/>
      <w:r>
        <w:rPr>
          <w:rFonts w:eastAsia="Batang"/>
        </w:rPr>
        <w:t>beamwidth</w:t>
      </w:r>
      <w:proofErr w:type="spellEnd"/>
      <w:r>
        <w:rPr>
          <w:rFonts w:eastAsia="Batang"/>
        </w:rPr>
        <w:t>, but may be useful for overall beamforming gain.</w:t>
      </w:r>
    </w:p>
    <w:p w14:paraId="127A8360" w14:textId="6648885A" w:rsidR="00642A23" w:rsidRPr="00642A23" w:rsidRDefault="00642A23" w:rsidP="00642A23">
      <w:pPr>
        <w:rPr>
          <w:rFonts w:eastAsia="Batang"/>
        </w:rPr>
      </w:pPr>
      <w:r>
        <w:rPr>
          <w:rFonts w:eastAsia="Batang"/>
        </w:rPr>
        <w:t>For static beamforming applications where a statistical summary of device performance or conformance is needed, the beam lock function will be very useful to the RC method.</w:t>
      </w:r>
    </w:p>
    <w:p w14:paraId="015141CB" w14:textId="07A3D47E" w:rsidR="00476299" w:rsidRDefault="009F5361" w:rsidP="009F5361">
      <w:pPr>
        <w:pStyle w:val="Heading2"/>
        <w:rPr>
          <w:rFonts w:eastAsia="Batang"/>
        </w:rPr>
      </w:pPr>
      <w:r>
        <w:rPr>
          <w:rFonts w:eastAsia="Batang"/>
        </w:rPr>
        <w:t>2.9</w:t>
      </w:r>
      <w:r>
        <w:rPr>
          <w:rFonts w:eastAsia="Batang"/>
        </w:rPr>
        <w:tab/>
      </w:r>
      <w:r w:rsidR="00476299">
        <w:rPr>
          <w:rFonts w:eastAsia="Batang"/>
        </w:rPr>
        <w:t>Dynamic Beamforming Applications</w:t>
      </w:r>
    </w:p>
    <w:p w14:paraId="331B998D" w14:textId="634D1B55" w:rsidR="00642A23" w:rsidRDefault="00642A23" w:rsidP="00642A23">
      <w:pPr>
        <w:rPr>
          <w:rFonts w:eastAsia="Batang"/>
        </w:rPr>
      </w:pPr>
      <w:r>
        <w:rPr>
          <w:rFonts w:eastAsia="Batang"/>
        </w:rPr>
        <w:t>The RC is inherently a dynamic</w:t>
      </w:r>
      <w:r w:rsidR="005E6349">
        <w:rPr>
          <w:rFonts w:eastAsia="Batang"/>
        </w:rPr>
        <w:t>,</w:t>
      </w:r>
      <w:r>
        <w:rPr>
          <w:rFonts w:eastAsia="Batang"/>
        </w:rPr>
        <w:t xml:space="preserve"> complex multipath </w:t>
      </w:r>
      <w:r w:rsidR="005E6349">
        <w:rPr>
          <w:rFonts w:eastAsia="Batang"/>
        </w:rPr>
        <w:t xml:space="preserve">OTA test </w:t>
      </w:r>
      <w:r>
        <w:rPr>
          <w:rFonts w:eastAsia="Batang"/>
        </w:rPr>
        <w:t>environment that scales to NR FR2</w:t>
      </w:r>
      <w:r w:rsidR="005E6349">
        <w:rPr>
          <w:rFonts w:eastAsia="Batang"/>
        </w:rPr>
        <w:t>. As such it can be a convenient platform for characterizing dynamic device behaviour – including beamforming functionality. It is important to note however that the dynamic environment presented to the device has some inherent limitations. For example</w:t>
      </w:r>
      <w:r w:rsidR="004C090A">
        <w:rPr>
          <w:rFonts w:eastAsia="Batang"/>
        </w:rPr>
        <w:t>,</w:t>
      </w:r>
      <w:r w:rsidR="001C22F5">
        <w:rPr>
          <w:rFonts w:eastAsia="Batang"/>
        </w:rPr>
        <w:t xml:space="preserve"> in a RC system</w:t>
      </w:r>
      <w:r w:rsidR="005E6349">
        <w:rPr>
          <w:rFonts w:eastAsia="Batang"/>
        </w:rPr>
        <w:t>:</w:t>
      </w:r>
    </w:p>
    <w:p w14:paraId="5A6FC352" w14:textId="1249E92E" w:rsidR="005E6349" w:rsidRDefault="005E6349" w:rsidP="001C22F5">
      <w:pPr>
        <w:numPr>
          <w:ilvl w:val="0"/>
          <w:numId w:val="18"/>
        </w:numPr>
        <w:rPr>
          <w:rFonts w:eastAsia="Batang"/>
        </w:rPr>
      </w:pPr>
      <w:r>
        <w:rPr>
          <w:rFonts w:eastAsia="Batang"/>
        </w:rPr>
        <w:t>The angle of arrival will always be randomized</w:t>
      </w:r>
    </w:p>
    <w:p w14:paraId="388337CB" w14:textId="3B23223E" w:rsidR="005E6349" w:rsidRDefault="005E6349" w:rsidP="001C22F5">
      <w:pPr>
        <w:numPr>
          <w:ilvl w:val="0"/>
          <w:numId w:val="18"/>
        </w:numPr>
        <w:rPr>
          <w:rFonts w:eastAsia="Batang"/>
        </w:rPr>
      </w:pPr>
      <w:r>
        <w:rPr>
          <w:rFonts w:eastAsia="Batang"/>
        </w:rPr>
        <w:t>The doppler and delay spread can</w:t>
      </w:r>
      <w:r w:rsidR="001C22F5">
        <w:rPr>
          <w:rFonts w:eastAsia="Batang"/>
        </w:rPr>
        <w:t>not be eliminated (though considerable variation is possible).</w:t>
      </w:r>
    </w:p>
    <w:p w14:paraId="4DE58614" w14:textId="5B96B425" w:rsidR="001C22F5" w:rsidRDefault="001C22F5" w:rsidP="001C22F5">
      <w:pPr>
        <w:numPr>
          <w:ilvl w:val="0"/>
          <w:numId w:val="18"/>
        </w:numPr>
        <w:rPr>
          <w:rFonts w:eastAsia="Batang"/>
        </w:rPr>
      </w:pPr>
      <w:r>
        <w:rPr>
          <w:rFonts w:eastAsia="Batang"/>
        </w:rPr>
        <w:t>The total number of multipath components will almost always be more than two and significant numbers of multipath components may exist at increasingly lower power level</w:t>
      </w:r>
      <w:r w:rsidR="00BB263A">
        <w:rPr>
          <w:rFonts w:eastAsia="Batang"/>
        </w:rPr>
        <w:t>s</w:t>
      </w:r>
      <w:r>
        <w:rPr>
          <w:rFonts w:eastAsia="Batang"/>
        </w:rPr>
        <w:t>.</w:t>
      </w:r>
    </w:p>
    <w:p w14:paraId="2B1090A5" w14:textId="00D2633F" w:rsidR="001C22F5" w:rsidRDefault="001C22F5" w:rsidP="001C22F5">
      <w:pPr>
        <w:rPr>
          <w:rFonts w:eastAsia="Batang"/>
        </w:rPr>
      </w:pPr>
      <w:r>
        <w:rPr>
          <w:rFonts w:eastAsia="Batang"/>
        </w:rPr>
        <w:t>Given these boundary conditions, the RC method provides a low complexity implementation of an environment where dynamic beamforming functionality can be reliably and repeatably tested.</w:t>
      </w:r>
    </w:p>
    <w:p w14:paraId="22361E5D" w14:textId="244783B1" w:rsidR="00F013AD" w:rsidRPr="00642A23" w:rsidRDefault="00BB263A" w:rsidP="001C22F5">
      <w:pPr>
        <w:rPr>
          <w:rFonts w:eastAsia="Batang"/>
        </w:rPr>
      </w:pPr>
      <w:r>
        <w:rPr>
          <w:rFonts w:eastAsia="Batang"/>
        </w:rPr>
        <w:t>A channel emulator (CE) can be a valuable addition to a</w:t>
      </w:r>
      <w:r w:rsidR="00F013AD">
        <w:rPr>
          <w:rFonts w:eastAsia="Batang"/>
        </w:rPr>
        <w:t xml:space="preserve"> dynamic RC system that dramatically extends the range of </w:t>
      </w:r>
      <w:r>
        <w:rPr>
          <w:rFonts w:eastAsia="Batang"/>
        </w:rPr>
        <w:t>complex channel and</w:t>
      </w:r>
      <w:r w:rsidR="00F013AD">
        <w:rPr>
          <w:rFonts w:eastAsia="Batang"/>
        </w:rPr>
        <w:t xml:space="preserve"> test scenarios. The CE adds significant channel characteristics above and </w:t>
      </w:r>
      <w:r w:rsidR="00F013AD">
        <w:rPr>
          <w:rFonts w:eastAsia="Batang"/>
        </w:rPr>
        <w:lastRenderedPageBreak/>
        <w:t>beyond the multipath fading of the chamber alone – but cannot eliminate the basic multipath fading of the chamber cavity.</w:t>
      </w:r>
    </w:p>
    <w:p w14:paraId="2632C7C1" w14:textId="6E8DA46B" w:rsidR="009905AB" w:rsidRDefault="009F5361" w:rsidP="009F5361">
      <w:pPr>
        <w:pStyle w:val="Heading2"/>
        <w:rPr>
          <w:rFonts w:eastAsia="Batang"/>
        </w:rPr>
      </w:pPr>
      <w:r>
        <w:rPr>
          <w:rFonts w:eastAsia="Batang"/>
        </w:rPr>
        <w:t>2.10</w:t>
      </w:r>
      <w:r>
        <w:rPr>
          <w:rFonts w:eastAsia="Batang"/>
        </w:rPr>
        <w:tab/>
      </w:r>
      <w:r w:rsidR="009905AB">
        <w:rPr>
          <w:rFonts w:eastAsia="Batang"/>
        </w:rPr>
        <w:t>Other Considerations</w:t>
      </w:r>
    </w:p>
    <w:p w14:paraId="7FBB00D1" w14:textId="71979CD9" w:rsidR="00476299" w:rsidRDefault="00F013AD" w:rsidP="00476299">
      <w:pPr>
        <w:rPr>
          <w:rFonts w:eastAsia="Batang"/>
        </w:rPr>
      </w:pPr>
      <w:r>
        <w:rPr>
          <w:rFonts w:eastAsia="Batang"/>
        </w:rPr>
        <w:t>There has been considerable discussion about “black box” vs. “white box” testing in the baseline method. In the RC method, the device is essentially “black box” by definition. The nature of the RC test randomizes location to maximize phase and amplitude sampling so any “white box” information that is provided is essentially thrown away in practice.</w:t>
      </w:r>
    </w:p>
    <w:p w14:paraId="60691708" w14:textId="7F7848D9" w:rsidR="007C4ACA" w:rsidRDefault="007C4ACA" w:rsidP="00476299">
      <w:pPr>
        <w:rPr>
          <w:rFonts w:eastAsia="Batang"/>
        </w:rPr>
      </w:pPr>
      <w:r>
        <w:rPr>
          <w:rFonts w:eastAsia="Batang"/>
        </w:rPr>
        <w:t>At microwave frequencies</w:t>
      </w:r>
      <w:r w:rsidR="00845747">
        <w:rPr>
          <w:rFonts w:eastAsia="Batang"/>
        </w:rPr>
        <w:t>,</w:t>
      </w:r>
      <w:r>
        <w:rPr>
          <w:rFonts w:eastAsia="Batang"/>
        </w:rPr>
        <w:t xml:space="preserve"> the relative positioning uncertainty of mode stirrers can increase. This makes some stepped stirring RC measurement techniques more challenging for a given hardware configuration and frequency range. This </w:t>
      </w:r>
      <w:r w:rsidR="004C090A">
        <w:rPr>
          <w:rFonts w:eastAsia="Batang"/>
        </w:rPr>
        <w:t xml:space="preserve">positioning uncertainty </w:t>
      </w:r>
      <w:r>
        <w:rPr>
          <w:rFonts w:eastAsia="Batang"/>
        </w:rPr>
        <w:t xml:space="preserve">can be practically mitigated by </w:t>
      </w:r>
      <w:r w:rsidR="00845747">
        <w:rPr>
          <w:rFonts w:eastAsia="Batang"/>
        </w:rPr>
        <w:t>using</w:t>
      </w:r>
      <w:r>
        <w:rPr>
          <w:rFonts w:eastAsia="Batang"/>
        </w:rPr>
        <w:t xml:space="preserve"> more precise stirrer positioning systems, or using more switched multiport source antennas. For most measurements</w:t>
      </w:r>
      <w:r w:rsidR="00845747">
        <w:rPr>
          <w:rFonts w:eastAsia="Batang"/>
        </w:rPr>
        <w:t xml:space="preserve"> this</w:t>
      </w:r>
      <w:r>
        <w:rPr>
          <w:rFonts w:eastAsia="Batang"/>
        </w:rPr>
        <w:t xml:space="preserve"> </w:t>
      </w:r>
      <w:r w:rsidR="00845747">
        <w:rPr>
          <w:rFonts w:eastAsia="Batang"/>
        </w:rPr>
        <w:t>not a factor</w:t>
      </w:r>
      <w:r>
        <w:rPr>
          <w:rFonts w:eastAsia="Batang"/>
        </w:rPr>
        <w:t xml:space="preserve"> or it only increases the measurement uncertainty to, at a maximum, the measurement uncertainty of the equivalent continuously stirred technique.</w:t>
      </w:r>
    </w:p>
    <w:p w14:paraId="77A5D385" w14:textId="05F7FF0C" w:rsidR="007C4ACA" w:rsidRPr="00476299" w:rsidRDefault="007C4ACA" w:rsidP="00476299">
      <w:pPr>
        <w:rPr>
          <w:rFonts w:eastAsia="Batang"/>
        </w:rPr>
      </w:pPr>
      <w:r>
        <w:rPr>
          <w:rFonts w:eastAsia="Batang"/>
        </w:rPr>
        <w:t xml:space="preserve">Many NR FR2 measurements may need to </w:t>
      </w:r>
      <w:r w:rsidR="00845747">
        <w:rPr>
          <w:rFonts w:eastAsia="Batang"/>
        </w:rPr>
        <w:t xml:space="preserve">execute simultaneously </w:t>
      </w:r>
      <w:r>
        <w:rPr>
          <w:rFonts w:eastAsia="Batang"/>
        </w:rPr>
        <w:t xml:space="preserve">with FR1 and LTE </w:t>
      </w:r>
      <w:r w:rsidR="00845747">
        <w:rPr>
          <w:rFonts w:eastAsia="Batang"/>
        </w:rPr>
        <w:t>signaling</w:t>
      </w:r>
      <w:r>
        <w:rPr>
          <w:rFonts w:eastAsia="Batang"/>
        </w:rPr>
        <w:t xml:space="preserve"> on the same device. The broad frequency range, low complexity multipath implementation and </w:t>
      </w:r>
      <w:r w:rsidR="00845747">
        <w:rPr>
          <w:rFonts w:eastAsia="Batang"/>
        </w:rPr>
        <w:t xml:space="preserve">high </w:t>
      </w:r>
      <w:r>
        <w:rPr>
          <w:rFonts w:eastAsia="Batang"/>
        </w:rPr>
        <w:t>multiport</w:t>
      </w:r>
      <w:r w:rsidR="00845747">
        <w:rPr>
          <w:rFonts w:eastAsia="Batang"/>
        </w:rPr>
        <w:t xml:space="preserve"> nature of traditional RC test systems readily implements this requirement. For example</w:t>
      </w:r>
      <w:r w:rsidR="00032957">
        <w:rPr>
          <w:rFonts w:eastAsia="Batang"/>
        </w:rPr>
        <w:t>, with minor cable reconfiguration,</w:t>
      </w:r>
      <w:r w:rsidR="00845747">
        <w:rPr>
          <w:rFonts w:eastAsia="Batang"/>
        </w:rPr>
        <w:t xml:space="preserve"> many RC systems in operation today could implement a TPUT measurement aggregating</w:t>
      </w:r>
      <w:r w:rsidR="00032957">
        <w:rPr>
          <w:rFonts w:eastAsia="Batang"/>
        </w:rPr>
        <w:t xml:space="preserve"> LTE 4x4 MIMO, an NR Sub-6 and NR FR2 Carriers – if the appropriate UE and signalling box could be found.</w:t>
      </w:r>
    </w:p>
    <w:p w14:paraId="58F60341" w14:textId="51523331" w:rsidR="00AD2A33" w:rsidRDefault="00032957" w:rsidP="00032957">
      <w:pPr>
        <w:pStyle w:val="Heading1"/>
        <w:rPr>
          <w:rFonts w:eastAsia="Batang"/>
        </w:rPr>
      </w:pPr>
      <w:r>
        <w:rPr>
          <w:rFonts w:eastAsia="Batang"/>
        </w:rPr>
        <w:t>3</w:t>
      </w:r>
      <w:r>
        <w:rPr>
          <w:rFonts w:eastAsia="Batang"/>
        </w:rPr>
        <w:tab/>
        <w:t>Conclusion</w:t>
      </w:r>
    </w:p>
    <w:p w14:paraId="5982B9D6" w14:textId="3D35DE2B" w:rsidR="00032957" w:rsidRDefault="00032957" w:rsidP="00032957">
      <w:pPr>
        <w:rPr>
          <w:rFonts w:eastAsia="Batang"/>
        </w:rPr>
      </w:pPr>
      <w:r>
        <w:rPr>
          <w:rFonts w:eastAsia="Batang"/>
        </w:rPr>
        <w:t>Within clear applicability criteria, the reverberation chamber offers a range of attractive alternative approaches to the NR Baseline system in [2] for NR FR2 UE RF testing.</w:t>
      </w:r>
      <w:r w:rsidR="00E87156">
        <w:rPr>
          <w:rFonts w:eastAsia="Batang"/>
        </w:rPr>
        <w:t xml:space="preserve"> In this case</w:t>
      </w:r>
      <w:r w:rsidR="00BB263A">
        <w:rPr>
          <w:rFonts w:eastAsia="Batang"/>
        </w:rPr>
        <w:t>3,</w:t>
      </w:r>
      <w:r w:rsidR="00E87156">
        <w:rPr>
          <w:rFonts w:eastAsia="Batang"/>
        </w:rPr>
        <w:t xml:space="preserve"> the traditional RC method refers to reverberation chamber only (RC only) and/or reverberation chamber with channel emulator (RC+CE) similar to those previously defined in [3] and appropriately adapted to NR FR2.</w:t>
      </w:r>
    </w:p>
    <w:p w14:paraId="66A43B58" w14:textId="1076210B" w:rsidR="00032957" w:rsidRDefault="00032957" w:rsidP="00032957">
      <w:pPr>
        <w:rPr>
          <w:rFonts w:eastAsia="Batang"/>
        </w:rPr>
      </w:pPr>
      <w:r>
        <w:rPr>
          <w:rFonts w:eastAsia="Batang"/>
        </w:rPr>
        <w:t>Proposal 1: The RC Method should be considered a</w:t>
      </w:r>
      <w:r w:rsidR="00E87156">
        <w:rPr>
          <w:rFonts w:eastAsia="Batang"/>
        </w:rPr>
        <w:t xml:space="preserve"> candidate alternative method for TRP test applications for NR FR2 UE RF testing.</w:t>
      </w:r>
    </w:p>
    <w:p w14:paraId="4D1456D7" w14:textId="0AD0202A" w:rsidR="00E87156" w:rsidRDefault="00E87156" w:rsidP="00E87156">
      <w:pPr>
        <w:rPr>
          <w:rFonts w:eastAsia="Batang"/>
        </w:rPr>
      </w:pPr>
      <w:r>
        <w:rPr>
          <w:rFonts w:eastAsia="Batang"/>
        </w:rPr>
        <w:t>Proposal 2: The RC method should be considered a candidate alternative method for TIS test applications for NR FR2 UE RF testing.</w:t>
      </w:r>
    </w:p>
    <w:p w14:paraId="0EE71336" w14:textId="2379B8F9" w:rsidR="00E87156" w:rsidRDefault="00E87156" w:rsidP="00E87156">
      <w:pPr>
        <w:rPr>
          <w:rFonts w:eastAsia="Batang"/>
        </w:rPr>
      </w:pPr>
      <w:r>
        <w:rPr>
          <w:rFonts w:eastAsia="Batang"/>
        </w:rPr>
        <w:t>Proposal 3: The traditional RC method is not applicable to single point or differential EIRP measurements for NR FR2 UE RF testing. The RC method should be considered for comprehensive many point EIRP-based measurements, such as CDF of EIRP.</w:t>
      </w:r>
    </w:p>
    <w:p w14:paraId="21A9EAAC" w14:textId="6D49945C" w:rsidR="00651F66" w:rsidRDefault="00651F66" w:rsidP="00651F66">
      <w:pPr>
        <w:rPr>
          <w:rFonts w:eastAsia="Batang"/>
        </w:rPr>
      </w:pPr>
      <w:r>
        <w:rPr>
          <w:rFonts w:eastAsia="Batang"/>
        </w:rPr>
        <w:t>Proposal 4: The traditional RC method is not applicable to single point or differential EIS measurements for NR FR2 UE RF testing. The RC method should be considered for comprehensive many point EIS-based measurements, such as CDF of EIS.</w:t>
      </w:r>
    </w:p>
    <w:p w14:paraId="1EDE635D" w14:textId="5149E21E" w:rsidR="00E87156" w:rsidRPr="00032957" w:rsidRDefault="00E87156" w:rsidP="00032957">
      <w:pPr>
        <w:rPr>
          <w:rFonts w:eastAsia="Batang"/>
        </w:rPr>
      </w:pPr>
      <w:r>
        <w:rPr>
          <w:rFonts w:eastAsia="Batang"/>
        </w:rPr>
        <w:t xml:space="preserve">Proposal </w:t>
      </w:r>
      <w:r w:rsidR="00BB263A">
        <w:rPr>
          <w:rFonts w:eastAsia="Batang"/>
        </w:rPr>
        <w:t>5</w:t>
      </w:r>
      <w:r>
        <w:rPr>
          <w:rFonts w:eastAsia="Batang"/>
        </w:rPr>
        <w:t xml:space="preserve">: The RC method should be considered </w:t>
      </w:r>
      <w:r w:rsidR="00651F66">
        <w:rPr>
          <w:rFonts w:eastAsia="Batang"/>
        </w:rPr>
        <w:t xml:space="preserve">as </w:t>
      </w:r>
      <w:r>
        <w:rPr>
          <w:rFonts w:eastAsia="Batang"/>
        </w:rPr>
        <w:t>a</w:t>
      </w:r>
      <w:r w:rsidR="00651F66">
        <w:rPr>
          <w:rFonts w:eastAsia="Batang"/>
        </w:rPr>
        <w:t xml:space="preserve"> potential</w:t>
      </w:r>
      <w:r>
        <w:rPr>
          <w:rFonts w:eastAsia="Batang"/>
        </w:rPr>
        <w:t xml:space="preserve"> method for </w:t>
      </w:r>
      <w:r w:rsidR="00651F66">
        <w:rPr>
          <w:rFonts w:eastAsia="Batang"/>
        </w:rPr>
        <w:t>dynamic beamforming</w:t>
      </w:r>
      <w:r>
        <w:rPr>
          <w:rFonts w:eastAsia="Batang"/>
        </w:rPr>
        <w:t xml:space="preserve"> test applications for NR FR2 UE RF testing.</w:t>
      </w:r>
    </w:p>
    <w:p w14:paraId="285D9007" w14:textId="77777777" w:rsidR="00032957" w:rsidRPr="008764EC" w:rsidRDefault="00032957" w:rsidP="005E0319">
      <w:pPr>
        <w:rPr>
          <w:rFonts w:eastAsia="Batang"/>
        </w:rPr>
      </w:pPr>
    </w:p>
    <w:p w14:paraId="70E7C514" w14:textId="77777777" w:rsidR="00647B25" w:rsidRDefault="00B355E7" w:rsidP="0008103A">
      <w:pPr>
        <w:pStyle w:val="Heading1"/>
      </w:pPr>
      <w:r>
        <w:t>4</w:t>
      </w:r>
      <w:r w:rsidR="00647B25">
        <w:tab/>
        <w:t>References</w:t>
      </w:r>
    </w:p>
    <w:p w14:paraId="068082C3" w14:textId="6E5813F3" w:rsidR="00975E21" w:rsidRPr="0008103A" w:rsidRDefault="0043382F" w:rsidP="00975E21">
      <w:pPr>
        <w:tabs>
          <w:tab w:val="left" w:pos="2160"/>
        </w:tabs>
        <w:rPr>
          <w:rFonts w:ascii="Arial" w:hAnsi="Arial" w:cs="Arial"/>
          <w:b/>
          <w:sz w:val="24"/>
          <w:szCs w:val="24"/>
        </w:rPr>
      </w:pPr>
      <w:bookmarkStart w:id="0" w:name="_Ref476814365"/>
      <w:r>
        <w:t xml:space="preserve">[1] </w:t>
      </w:r>
      <w:r w:rsidR="00E760D0">
        <w:t>R</w:t>
      </w:r>
      <w:r w:rsidR="005218A9">
        <w:t>4</w:t>
      </w:r>
      <w:r w:rsidR="00E760D0">
        <w:t>-1</w:t>
      </w:r>
      <w:r w:rsidR="000E07A8">
        <w:t>801259</w:t>
      </w:r>
      <w:r w:rsidR="00E760D0">
        <w:t>, “</w:t>
      </w:r>
      <w:r w:rsidR="000E07A8" w:rsidRPr="000E07A8">
        <w:t>Work plan for the Study on alternative test methods for UE New Radio RF</w:t>
      </w:r>
      <w:r>
        <w:t xml:space="preserve">”, </w:t>
      </w:r>
      <w:r w:rsidR="000E07A8">
        <w:t>January</w:t>
      </w:r>
      <w:r>
        <w:t xml:space="preserve"> 201</w:t>
      </w:r>
      <w:r w:rsidR="000E07A8">
        <w:t>8</w:t>
      </w:r>
    </w:p>
    <w:p w14:paraId="5ADF5231" w14:textId="06E7C0C9" w:rsidR="003032EB" w:rsidRDefault="0043382F" w:rsidP="0043382F">
      <w:bookmarkStart w:id="1" w:name="_Ref466239739"/>
      <w:bookmarkStart w:id="2" w:name="_Ref466239850"/>
      <w:bookmarkEnd w:id="0"/>
      <w:r>
        <w:lastRenderedPageBreak/>
        <w:t xml:space="preserve">[2] </w:t>
      </w:r>
      <w:r w:rsidR="00A45F93">
        <w:t>TR 38.803</w:t>
      </w:r>
      <w:r w:rsidR="00A45F93" w:rsidRPr="00647B25">
        <w:t>, “</w:t>
      </w:r>
      <w:r w:rsidR="00A45F93" w:rsidRPr="00647B25">
        <w:rPr>
          <w:rFonts w:hint="eastAsia"/>
        </w:rPr>
        <w:t>Study on New Radio Access Technology</w:t>
      </w:r>
      <w:r w:rsidR="00A45F93">
        <w:t xml:space="preserve"> RF and co-existence aspects</w:t>
      </w:r>
      <w:r w:rsidR="00A45F93" w:rsidRPr="00647B25">
        <w:t xml:space="preserve">,” Version </w:t>
      </w:r>
      <w:r w:rsidR="00AD7CD9">
        <w:t>2</w:t>
      </w:r>
      <w:r w:rsidR="00A45F93" w:rsidRPr="00647B25">
        <w:t>.</w:t>
      </w:r>
      <w:r w:rsidR="00A45F93">
        <w:t>0</w:t>
      </w:r>
      <w:r w:rsidR="00A45F93" w:rsidRPr="00647B25">
        <w:t>.0, 3GPP RAN #</w:t>
      </w:r>
      <w:r w:rsidR="00AD7CD9">
        <w:t>75</w:t>
      </w:r>
      <w:r w:rsidR="00A45F93" w:rsidRPr="00647B25">
        <w:t xml:space="preserve">, </w:t>
      </w:r>
      <w:r w:rsidR="00AD7CD9">
        <w:t>March</w:t>
      </w:r>
      <w:r w:rsidR="00AD7CD9" w:rsidRPr="00647B25">
        <w:t xml:space="preserve"> </w:t>
      </w:r>
      <w:bookmarkEnd w:id="1"/>
      <w:r w:rsidR="00AD7CD9" w:rsidRPr="00647B25">
        <w:t>201</w:t>
      </w:r>
      <w:bookmarkEnd w:id="2"/>
      <w:r w:rsidR="00BB263A">
        <w:t>7</w:t>
      </w:r>
    </w:p>
    <w:p w14:paraId="03DB8FF4" w14:textId="30AD5ABA" w:rsidR="00BB263A" w:rsidRDefault="00BB263A" w:rsidP="00BB263A">
      <w:r>
        <w:t>[3] TR 37.977, “</w:t>
      </w:r>
      <w:r>
        <w:t>Verification of radiated multi-antenna reception performance of User Equipment (UE)</w:t>
      </w:r>
      <w:r>
        <w:t>” version 12.1.0 Release 1</w:t>
      </w:r>
      <w:r w:rsidR="000334DB">
        <w:t>4</w:t>
      </w:r>
      <w:r>
        <w:t xml:space="preserve">, Section 6.3.2. </w:t>
      </w:r>
      <w:r w:rsidR="005F6571">
        <w:t>March 2017</w:t>
      </w:r>
      <w:bookmarkStart w:id="3" w:name="_GoBack"/>
      <w:bookmarkEnd w:id="3"/>
    </w:p>
    <w:sectPr w:rsidR="00BB263A" w:rsidSect="00AF6A3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7080" w14:textId="77777777" w:rsidR="008D15E9" w:rsidRDefault="008D15E9">
      <w:r>
        <w:separator/>
      </w:r>
    </w:p>
  </w:endnote>
  <w:endnote w:type="continuationSeparator" w:id="0">
    <w:p w14:paraId="7D3D6362" w14:textId="77777777" w:rsidR="008D15E9" w:rsidRDefault="008D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0FEC3" w14:textId="77777777" w:rsidR="00E87156" w:rsidRDefault="00E87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409AC" w14:textId="77777777" w:rsidR="00E87156" w:rsidRDefault="00E871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FD36" w14:textId="77777777" w:rsidR="00E87156" w:rsidRDefault="00E871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29F15" w14:textId="77777777" w:rsidR="008D15E9" w:rsidRDefault="008D15E9">
      <w:r>
        <w:separator/>
      </w:r>
    </w:p>
  </w:footnote>
  <w:footnote w:type="continuationSeparator" w:id="0">
    <w:p w14:paraId="5A092D66" w14:textId="77777777" w:rsidR="008D15E9" w:rsidRDefault="008D1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59EB5" w14:textId="77777777" w:rsidR="00E87156" w:rsidRDefault="00E871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C8165" w14:textId="77777777" w:rsidR="00E87156" w:rsidRDefault="00E87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31378" w14:textId="77777777" w:rsidR="00E87156" w:rsidRDefault="00E87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1.75pt;height:30pt" o:bullet="t">
        <v:imagedata r:id="rId1" o:title="artD786"/>
      </v:shape>
    </w:pict>
  </w:numPicBullet>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7D83E9E"/>
    <w:multiLevelType w:val="hybridMultilevel"/>
    <w:tmpl w:val="6EA08B28"/>
    <w:lvl w:ilvl="0" w:tplc="3E1040D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5"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C50A0D"/>
    <w:multiLevelType w:val="hybridMultilevel"/>
    <w:tmpl w:val="A980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0"/>
  </w:num>
  <w:num w:numId="4">
    <w:abstractNumId w:val="7"/>
  </w:num>
  <w:num w:numId="5">
    <w:abstractNumId w:val="1"/>
  </w:num>
  <w:num w:numId="6">
    <w:abstractNumId w:val="15"/>
  </w:num>
  <w:num w:numId="7">
    <w:abstractNumId w:val="6"/>
  </w:num>
  <w:num w:numId="8">
    <w:abstractNumId w:val="0"/>
  </w:num>
  <w:num w:numId="9">
    <w:abstractNumId w:val="5"/>
  </w:num>
  <w:num w:numId="10">
    <w:abstractNumId w:val="17"/>
  </w:num>
  <w:num w:numId="11">
    <w:abstractNumId w:val="14"/>
  </w:num>
  <w:num w:numId="12">
    <w:abstractNumId w:val="4"/>
  </w:num>
  <w:num w:numId="13">
    <w:abstractNumId w:val="12"/>
  </w:num>
  <w:num w:numId="14">
    <w:abstractNumId w:val="3"/>
  </w:num>
  <w:num w:numId="15">
    <w:abstractNumId w:val="11"/>
  </w:num>
  <w:num w:numId="16">
    <w:abstractNumId w:val="13"/>
  </w:num>
  <w:num w:numId="17">
    <w:abstractNumId w:val="2"/>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DF8"/>
    <w:rsid w:val="000048A3"/>
    <w:rsid w:val="00004D09"/>
    <w:rsid w:val="000110D5"/>
    <w:rsid w:val="0001572C"/>
    <w:rsid w:val="00015B0B"/>
    <w:rsid w:val="000200D6"/>
    <w:rsid w:val="00025E6A"/>
    <w:rsid w:val="00026C34"/>
    <w:rsid w:val="000304C8"/>
    <w:rsid w:val="00030E5A"/>
    <w:rsid w:val="000319C9"/>
    <w:rsid w:val="00032957"/>
    <w:rsid w:val="000334DB"/>
    <w:rsid w:val="00033949"/>
    <w:rsid w:val="0003503D"/>
    <w:rsid w:val="000350E0"/>
    <w:rsid w:val="00037E33"/>
    <w:rsid w:val="0004319E"/>
    <w:rsid w:val="000440AE"/>
    <w:rsid w:val="00045D92"/>
    <w:rsid w:val="00050970"/>
    <w:rsid w:val="00050F5D"/>
    <w:rsid w:val="00051364"/>
    <w:rsid w:val="00053B32"/>
    <w:rsid w:val="00054BE8"/>
    <w:rsid w:val="00064772"/>
    <w:rsid w:val="00070788"/>
    <w:rsid w:val="00070F76"/>
    <w:rsid w:val="000728D7"/>
    <w:rsid w:val="0007575C"/>
    <w:rsid w:val="00077B48"/>
    <w:rsid w:val="00077E3A"/>
    <w:rsid w:val="0008103A"/>
    <w:rsid w:val="000810EE"/>
    <w:rsid w:val="0008122B"/>
    <w:rsid w:val="00081635"/>
    <w:rsid w:val="00086548"/>
    <w:rsid w:val="00086B0E"/>
    <w:rsid w:val="00086D7D"/>
    <w:rsid w:val="00092222"/>
    <w:rsid w:val="00096E64"/>
    <w:rsid w:val="00097BB3"/>
    <w:rsid w:val="000A006F"/>
    <w:rsid w:val="000A13D9"/>
    <w:rsid w:val="000A357B"/>
    <w:rsid w:val="000A3FF6"/>
    <w:rsid w:val="000A6A6C"/>
    <w:rsid w:val="000A6F3D"/>
    <w:rsid w:val="000B0B4B"/>
    <w:rsid w:val="000B404B"/>
    <w:rsid w:val="000B5357"/>
    <w:rsid w:val="000C1889"/>
    <w:rsid w:val="000C3A4A"/>
    <w:rsid w:val="000C62F0"/>
    <w:rsid w:val="000D19FE"/>
    <w:rsid w:val="000D505F"/>
    <w:rsid w:val="000D5AC1"/>
    <w:rsid w:val="000D5E5C"/>
    <w:rsid w:val="000D6A4F"/>
    <w:rsid w:val="000E06D4"/>
    <w:rsid w:val="000E07A8"/>
    <w:rsid w:val="000E0BC7"/>
    <w:rsid w:val="000E646F"/>
    <w:rsid w:val="000E6E47"/>
    <w:rsid w:val="000E70BC"/>
    <w:rsid w:val="000F28C0"/>
    <w:rsid w:val="000F7BB6"/>
    <w:rsid w:val="00100511"/>
    <w:rsid w:val="00100EB4"/>
    <w:rsid w:val="00103056"/>
    <w:rsid w:val="00103A90"/>
    <w:rsid w:val="00111269"/>
    <w:rsid w:val="001119B5"/>
    <w:rsid w:val="00113A1A"/>
    <w:rsid w:val="00114773"/>
    <w:rsid w:val="001232DA"/>
    <w:rsid w:val="0012562F"/>
    <w:rsid w:val="0012646E"/>
    <w:rsid w:val="00130C65"/>
    <w:rsid w:val="0013200F"/>
    <w:rsid w:val="00132115"/>
    <w:rsid w:val="00137FD6"/>
    <w:rsid w:val="0014051C"/>
    <w:rsid w:val="00143D89"/>
    <w:rsid w:val="001470A2"/>
    <w:rsid w:val="00147374"/>
    <w:rsid w:val="00147D90"/>
    <w:rsid w:val="001508F9"/>
    <w:rsid w:val="001514CE"/>
    <w:rsid w:val="00157552"/>
    <w:rsid w:val="001575B2"/>
    <w:rsid w:val="00160BEF"/>
    <w:rsid w:val="00161CD0"/>
    <w:rsid w:val="0016310B"/>
    <w:rsid w:val="00170D3A"/>
    <w:rsid w:val="0017663A"/>
    <w:rsid w:val="00180424"/>
    <w:rsid w:val="00190F21"/>
    <w:rsid w:val="00191CE2"/>
    <w:rsid w:val="00194344"/>
    <w:rsid w:val="001A0AEE"/>
    <w:rsid w:val="001A2578"/>
    <w:rsid w:val="001A73D3"/>
    <w:rsid w:val="001A7934"/>
    <w:rsid w:val="001A7964"/>
    <w:rsid w:val="001B31D1"/>
    <w:rsid w:val="001B387E"/>
    <w:rsid w:val="001B7584"/>
    <w:rsid w:val="001C1159"/>
    <w:rsid w:val="001C22F5"/>
    <w:rsid w:val="001C3640"/>
    <w:rsid w:val="001C5659"/>
    <w:rsid w:val="001C6E82"/>
    <w:rsid w:val="001C735C"/>
    <w:rsid w:val="001D225A"/>
    <w:rsid w:val="001D6D52"/>
    <w:rsid w:val="001E17BE"/>
    <w:rsid w:val="001E1F2A"/>
    <w:rsid w:val="001E35E5"/>
    <w:rsid w:val="001E4AD4"/>
    <w:rsid w:val="001E74DA"/>
    <w:rsid w:val="001F2804"/>
    <w:rsid w:val="001F3473"/>
    <w:rsid w:val="001F3790"/>
    <w:rsid w:val="001F623D"/>
    <w:rsid w:val="001F7EA1"/>
    <w:rsid w:val="00200F49"/>
    <w:rsid w:val="00202010"/>
    <w:rsid w:val="0020346E"/>
    <w:rsid w:val="002049A2"/>
    <w:rsid w:val="0020653F"/>
    <w:rsid w:val="002140E2"/>
    <w:rsid w:val="00216E80"/>
    <w:rsid w:val="00216FDD"/>
    <w:rsid w:val="00220FD4"/>
    <w:rsid w:val="002355B6"/>
    <w:rsid w:val="0023755E"/>
    <w:rsid w:val="00237DF5"/>
    <w:rsid w:val="00241F5A"/>
    <w:rsid w:val="00244D80"/>
    <w:rsid w:val="0025130A"/>
    <w:rsid w:val="00251846"/>
    <w:rsid w:val="00255BDA"/>
    <w:rsid w:val="002603B7"/>
    <w:rsid w:val="00260EC9"/>
    <w:rsid w:val="00273870"/>
    <w:rsid w:val="00273D3A"/>
    <w:rsid w:val="00275AC6"/>
    <w:rsid w:val="00276669"/>
    <w:rsid w:val="00281745"/>
    <w:rsid w:val="00284990"/>
    <w:rsid w:val="00293451"/>
    <w:rsid w:val="00293C4B"/>
    <w:rsid w:val="002943C0"/>
    <w:rsid w:val="002A1732"/>
    <w:rsid w:val="002A45CE"/>
    <w:rsid w:val="002A7CF2"/>
    <w:rsid w:val="002B3265"/>
    <w:rsid w:val="002B43AD"/>
    <w:rsid w:val="002B50EC"/>
    <w:rsid w:val="002B5D5A"/>
    <w:rsid w:val="002C05AF"/>
    <w:rsid w:val="002C167C"/>
    <w:rsid w:val="002C4B99"/>
    <w:rsid w:val="002C7A81"/>
    <w:rsid w:val="002D3F00"/>
    <w:rsid w:val="002D4419"/>
    <w:rsid w:val="002D5CFD"/>
    <w:rsid w:val="002D6FD8"/>
    <w:rsid w:val="002E1B5B"/>
    <w:rsid w:val="002E3964"/>
    <w:rsid w:val="002E60D0"/>
    <w:rsid w:val="002F4EBE"/>
    <w:rsid w:val="002F5088"/>
    <w:rsid w:val="002F509A"/>
    <w:rsid w:val="002F5212"/>
    <w:rsid w:val="002F66AE"/>
    <w:rsid w:val="002F75EA"/>
    <w:rsid w:val="002F7C30"/>
    <w:rsid w:val="00302EC5"/>
    <w:rsid w:val="003032EB"/>
    <w:rsid w:val="00307B90"/>
    <w:rsid w:val="00310DA9"/>
    <w:rsid w:val="00312071"/>
    <w:rsid w:val="00313DDE"/>
    <w:rsid w:val="00320802"/>
    <w:rsid w:val="00322DC8"/>
    <w:rsid w:val="00324C8F"/>
    <w:rsid w:val="00330383"/>
    <w:rsid w:val="00330B06"/>
    <w:rsid w:val="003337E4"/>
    <w:rsid w:val="00333B47"/>
    <w:rsid w:val="003351E9"/>
    <w:rsid w:val="0033547C"/>
    <w:rsid w:val="00342645"/>
    <w:rsid w:val="00343569"/>
    <w:rsid w:val="00353288"/>
    <w:rsid w:val="00353392"/>
    <w:rsid w:val="00354D58"/>
    <w:rsid w:val="003552F8"/>
    <w:rsid w:val="003665BC"/>
    <w:rsid w:val="00366997"/>
    <w:rsid w:val="0036740E"/>
    <w:rsid w:val="00367C3D"/>
    <w:rsid w:val="00367F1F"/>
    <w:rsid w:val="00372232"/>
    <w:rsid w:val="00377F7A"/>
    <w:rsid w:val="00382662"/>
    <w:rsid w:val="003826D8"/>
    <w:rsid w:val="00384CCF"/>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7F67"/>
    <w:rsid w:val="003C4803"/>
    <w:rsid w:val="003C4FD2"/>
    <w:rsid w:val="003C6EE8"/>
    <w:rsid w:val="003D1CAD"/>
    <w:rsid w:val="003D6DDB"/>
    <w:rsid w:val="003E33BF"/>
    <w:rsid w:val="003E3537"/>
    <w:rsid w:val="003E4264"/>
    <w:rsid w:val="003E576B"/>
    <w:rsid w:val="003F0201"/>
    <w:rsid w:val="003F15BD"/>
    <w:rsid w:val="003F4570"/>
    <w:rsid w:val="003F6F11"/>
    <w:rsid w:val="003F7C09"/>
    <w:rsid w:val="004001CD"/>
    <w:rsid w:val="00400B15"/>
    <w:rsid w:val="00400EE7"/>
    <w:rsid w:val="004012D0"/>
    <w:rsid w:val="004020FA"/>
    <w:rsid w:val="00402E1E"/>
    <w:rsid w:val="00404119"/>
    <w:rsid w:val="00412C55"/>
    <w:rsid w:val="00415E5C"/>
    <w:rsid w:val="00415EEF"/>
    <w:rsid w:val="00420B98"/>
    <w:rsid w:val="0042388A"/>
    <w:rsid w:val="00425615"/>
    <w:rsid w:val="00425FEB"/>
    <w:rsid w:val="0042680D"/>
    <w:rsid w:val="00427255"/>
    <w:rsid w:val="00427296"/>
    <w:rsid w:val="0043382F"/>
    <w:rsid w:val="00442138"/>
    <w:rsid w:val="00442F4F"/>
    <w:rsid w:val="00444B72"/>
    <w:rsid w:val="00454E1F"/>
    <w:rsid w:val="0045520F"/>
    <w:rsid w:val="00455A14"/>
    <w:rsid w:val="00456499"/>
    <w:rsid w:val="00461CF5"/>
    <w:rsid w:val="00464883"/>
    <w:rsid w:val="00465869"/>
    <w:rsid w:val="0046740F"/>
    <w:rsid w:val="004679AF"/>
    <w:rsid w:val="004703CD"/>
    <w:rsid w:val="00470720"/>
    <w:rsid w:val="00470CED"/>
    <w:rsid w:val="00474A35"/>
    <w:rsid w:val="00476299"/>
    <w:rsid w:val="004820C4"/>
    <w:rsid w:val="0048584F"/>
    <w:rsid w:val="004903AC"/>
    <w:rsid w:val="00491979"/>
    <w:rsid w:val="004963AC"/>
    <w:rsid w:val="004A0E35"/>
    <w:rsid w:val="004A1EEF"/>
    <w:rsid w:val="004A3813"/>
    <w:rsid w:val="004A54E3"/>
    <w:rsid w:val="004A6CFD"/>
    <w:rsid w:val="004B0BC8"/>
    <w:rsid w:val="004B2192"/>
    <w:rsid w:val="004B3771"/>
    <w:rsid w:val="004B7612"/>
    <w:rsid w:val="004C090A"/>
    <w:rsid w:val="004C1AA9"/>
    <w:rsid w:val="004C2183"/>
    <w:rsid w:val="004C23FD"/>
    <w:rsid w:val="004C505E"/>
    <w:rsid w:val="004C7E19"/>
    <w:rsid w:val="004D00F2"/>
    <w:rsid w:val="004D06CD"/>
    <w:rsid w:val="004D11E5"/>
    <w:rsid w:val="004D183A"/>
    <w:rsid w:val="004D2A62"/>
    <w:rsid w:val="004D2E76"/>
    <w:rsid w:val="004D309C"/>
    <w:rsid w:val="004D519F"/>
    <w:rsid w:val="004D6BBA"/>
    <w:rsid w:val="004E3963"/>
    <w:rsid w:val="004E4EFC"/>
    <w:rsid w:val="004E7F1E"/>
    <w:rsid w:val="004F16D2"/>
    <w:rsid w:val="004F30A1"/>
    <w:rsid w:val="004F545D"/>
    <w:rsid w:val="004F7BB7"/>
    <w:rsid w:val="004F7E84"/>
    <w:rsid w:val="00501C64"/>
    <w:rsid w:val="0050210E"/>
    <w:rsid w:val="005025C5"/>
    <w:rsid w:val="00502C90"/>
    <w:rsid w:val="00503F62"/>
    <w:rsid w:val="00505651"/>
    <w:rsid w:val="00510D89"/>
    <w:rsid w:val="00511232"/>
    <w:rsid w:val="00512CEE"/>
    <w:rsid w:val="0051468C"/>
    <w:rsid w:val="00514BA6"/>
    <w:rsid w:val="0051606B"/>
    <w:rsid w:val="0052175C"/>
    <w:rsid w:val="005218A9"/>
    <w:rsid w:val="00521B78"/>
    <w:rsid w:val="00521DB9"/>
    <w:rsid w:val="0052253C"/>
    <w:rsid w:val="00522B3A"/>
    <w:rsid w:val="005242F9"/>
    <w:rsid w:val="00527456"/>
    <w:rsid w:val="00527AEE"/>
    <w:rsid w:val="00530BD4"/>
    <w:rsid w:val="0053325D"/>
    <w:rsid w:val="0053578D"/>
    <w:rsid w:val="00542B9E"/>
    <w:rsid w:val="00552B94"/>
    <w:rsid w:val="00552D50"/>
    <w:rsid w:val="0055438A"/>
    <w:rsid w:val="0055559A"/>
    <w:rsid w:val="00556E45"/>
    <w:rsid w:val="00557420"/>
    <w:rsid w:val="0056186B"/>
    <w:rsid w:val="00562A61"/>
    <w:rsid w:val="00564321"/>
    <w:rsid w:val="00565392"/>
    <w:rsid w:val="00566988"/>
    <w:rsid w:val="00570A04"/>
    <w:rsid w:val="005734B4"/>
    <w:rsid w:val="00573B04"/>
    <w:rsid w:val="00574D33"/>
    <w:rsid w:val="00576853"/>
    <w:rsid w:val="00580AAB"/>
    <w:rsid w:val="00581C7A"/>
    <w:rsid w:val="0058403A"/>
    <w:rsid w:val="0058579F"/>
    <w:rsid w:val="005872D2"/>
    <w:rsid w:val="00592B11"/>
    <w:rsid w:val="005A29E2"/>
    <w:rsid w:val="005A2A08"/>
    <w:rsid w:val="005A2E0A"/>
    <w:rsid w:val="005A4101"/>
    <w:rsid w:val="005A4152"/>
    <w:rsid w:val="005A5586"/>
    <w:rsid w:val="005A65C0"/>
    <w:rsid w:val="005A7989"/>
    <w:rsid w:val="005A7AFA"/>
    <w:rsid w:val="005B0B53"/>
    <w:rsid w:val="005B1DC9"/>
    <w:rsid w:val="005B4392"/>
    <w:rsid w:val="005B43F7"/>
    <w:rsid w:val="005B6547"/>
    <w:rsid w:val="005C6C8C"/>
    <w:rsid w:val="005D335F"/>
    <w:rsid w:val="005D40C6"/>
    <w:rsid w:val="005E0319"/>
    <w:rsid w:val="005E11AD"/>
    <w:rsid w:val="005E418A"/>
    <w:rsid w:val="005E53DE"/>
    <w:rsid w:val="005E6349"/>
    <w:rsid w:val="005E6C79"/>
    <w:rsid w:val="005E7321"/>
    <w:rsid w:val="005F0655"/>
    <w:rsid w:val="005F55A6"/>
    <w:rsid w:val="005F6571"/>
    <w:rsid w:val="006002BE"/>
    <w:rsid w:val="00601D13"/>
    <w:rsid w:val="00601D6B"/>
    <w:rsid w:val="00605EFF"/>
    <w:rsid w:val="00611EE7"/>
    <w:rsid w:val="00613735"/>
    <w:rsid w:val="00613E4B"/>
    <w:rsid w:val="00622E25"/>
    <w:rsid w:val="006237D6"/>
    <w:rsid w:val="006266F3"/>
    <w:rsid w:val="00627398"/>
    <w:rsid w:val="00627510"/>
    <w:rsid w:val="00627CAE"/>
    <w:rsid w:val="00633D7B"/>
    <w:rsid w:val="00633FA9"/>
    <w:rsid w:val="0064061F"/>
    <w:rsid w:val="00640EF1"/>
    <w:rsid w:val="00642A23"/>
    <w:rsid w:val="00647B25"/>
    <w:rsid w:val="0065002D"/>
    <w:rsid w:val="00651F66"/>
    <w:rsid w:val="00651FB3"/>
    <w:rsid w:val="00652E4A"/>
    <w:rsid w:val="00654DB0"/>
    <w:rsid w:val="00654F6A"/>
    <w:rsid w:val="00660880"/>
    <w:rsid w:val="006616FE"/>
    <w:rsid w:val="0066196E"/>
    <w:rsid w:val="006624E1"/>
    <w:rsid w:val="006634C2"/>
    <w:rsid w:val="00665D92"/>
    <w:rsid w:val="00666089"/>
    <w:rsid w:val="006660A6"/>
    <w:rsid w:val="00667560"/>
    <w:rsid w:val="00672984"/>
    <w:rsid w:val="00675B7A"/>
    <w:rsid w:val="00685BA3"/>
    <w:rsid w:val="00686007"/>
    <w:rsid w:val="00690ED9"/>
    <w:rsid w:val="00691357"/>
    <w:rsid w:val="00693E4C"/>
    <w:rsid w:val="0069600E"/>
    <w:rsid w:val="006A0550"/>
    <w:rsid w:val="006A0635"/>
    <w:rsid w:val="006A3A6B"/>
    <w:rsid w:val="006A6735"/>
    <w:rsid w:val="006A717F"/>
    <w:rsid w:val="006A7D6A"/>
    <w:rsid w:val="006B285B"/>
    <w:rsid w:val="006B3DDE"/>
    <w:rsid w:val="006B5580"/>
    <w:rsid w:val="006B5F8F"/>
    <w:rsid w:val="006B6BD3"/>
    <w:rsid w:val="006C2CC1"/>
    <w:rsid w:val="006C58C9"/>
    <w:rsid w:val="006C6EB9"/>
    <w:rsid w:val="006D24A3"/>
    <w:rsid w:val="006D34DA"/>
    <w:rsid w:val="006D7A77"/>
    <w:rsid w:val="006D7CEE"/>
    <w:rsid w:val="006E52AD"/>
    <w:rsid w:val="006E6BEF"/>
    <w:rsid w:val="006F0281"/>
    <w:rsid w:val="006F2D0B"/>
    <w:rsid w:val="006F760C"/>
    <w:rsid w:val="00701A8B"/>
    <w:rsid w:val="00703F3E"/>
    <w:rsid w:val="00704709"/>
    <w:rsid w:val="007070E8"/>
    <w:rsid w:val="0071209A"/>
    <w:rsid w:val="007132C9"/>
    <w:rsid w:val="00713A7C"/>
    <w:rsid w:val="00715340"/>
    <w:rsid w:val="00716482"/>
    <w:rsid w:val="00717627"/>
    <w:rsid w:val="00722DDB"/>
    <w:rsid w:val="00723A5B"/>
    <w:rsid w:val="0072495C"/>
    <w:rsid w:val="00726F85"/>
    <w:rsid w:val="007274D2"/>
    <w:rsid w:val="00730190"/>
    <w:rsid w:val="00731758"/>
    <w:rsid w:val="0073503D"/>
    <w:rsid w:val="00736D84"/>
    <w:rsid w:val="00745394"/>
    <w:rsid w:val="00746C34"/>
    <w:rsid w:val="007508BB"/>
    <w:rsid w:val="00752D0A"/>
    <w:rsid w:val="00753BA9"/>
    <w:rsid w:val="00755E5C"/>
    <w:rsid w:val="00756737"/>
    <w:rsid w:val="0075678D"/>
    <w:rsid w:val="00756C14"/>
    <w:rsid w:val="007618DB"/>
    <w:rsid w:val="007628E1"/>
    <w:rsid w:val="007629F4"/>
    <w:rsid w:val="00765294"/>
    <w:rsid w:val="007653CB"/>
    <w:rsid w:val="00766665"/>
    <w:rsid w:val="00767BD1"/>
    <w:rsid w:val="00770A5A"/>
    <w:rsid w:val="00774E1A"/>
    <w:rsid w:val="007755BA"/>
    <w:rsid w:val="00775D52"/>
    <w:rsid w:val="007764B9"/>
    <w:rsid w:val="00782C98"/>
    <w:rsid w:val="00785A8D"/>
    <w:rsid w:val="00786108"/>
    <w:rsid w:val="007918EE"/>
    <w:rsid w:val="00792101"/>
    <w:rsid w:val="00797AD1"/>
    <w:rsid w:val="007A1110"/>
    <w:rsid w:val="007A129A"/>
    <w:rsid w:val="007A1992"/>
    <w:rsid w:val="007A62B3"/>
    <w:rsid w:val="007A655F"/>
    <w:rsid w:val="007B0993"/>
    <w:rsid w:val="007B319A"/>
    <w:rsid w:val="007B331E"/>
    <w:rsid w:val="007B6413"/>
    <w:rsid w:val="007B7FDF"/>
    <w:rsid w:val="007C032A"/>
    <w:rsid w:val="007C12D1"/>
    <w:rsid w:val="007C363D"/>
    <w:rsid w:val="007C4ACA"/>
    <w:rsid w:val="007C6893"/>
    <w:rsid w:val="007C7BC3"/>
    <w:rsid w:val="007D07E4"/>
    <w:rsid w:val="007D3F46"/>
    <w:rsid w:val="007D46A2"/>
    <w:rsid w:val="007D5067"/>
    <w:rsid w:val="007D5BAF"/>
    <w:rsid w:val="007D618E"/>
    <w:rsid w:val="007D6251"/>
    <w:rsid w:val="007E0260"/>
    <w:rsid w:val="007E2549"/>
    <w:rsid w:val="007E3801"/>
    <w:rsid w:val="007E42EE"/>
    <w:rsid w:val="007F0EA5"/>
    <w:rsid w:val="007F1A58"/>
    <w:rsid w:val="00802449"/>
    <w:rsid w:val="008024BF"/>
    <w:rsid w:val="0080368D"/>
    <w:rsid w:val="0080568E"/>
    <w:rsid w:val="008068CF"/>
    <w:rsid w:val="00814183"/>
    <w:rsid w:val="00814FBB"/>
    <w:rsid w:val="008158EB"/>
    <w:rsid w:val="008218ED"/>
    <w:rsid w:val="00822F10"/>
    <w:rsid w:val="008230B9"/>
    <w:rsid w:val="008248EA"/>
    <w:rsid w:val="008260B9"/>
    <w:rsid w:val="00826EA6"/>
    <w:rsid w:val="00836354"/>
    <w:rsid w:val="00836F18"/>
    <w:rsid w:val="008415F4"/>
    <w:rsid w:val="00845747"/>
    <w:rsid w:val="0085065C"/>
    <w:rsid w:val="008506DA"/>
    <w:rsid w:val="0085224E"/>
    <w:rsid w:val="0085279C"/>
    <w:rsid w:val="00853C98"/>
    <w:rsid w:val="0085691C"/>
    <w:rsid w:val="00857410"/>
    <w:rsid w:val="00861477"/>
    <w:rsid w:val="00862CAA"/>
    <w:rsid w:val="00866935"/>
    <w:rsid w:val="00870311"/>
    <w:rsid w:val="008712E7"/>
    <w:rsid w:val="00871E56"/>
    <w:rsid w:val="008764EC"/>
    <w:rsid w:val="008818B8"/>
    <w:rsid w:val="00884DF8"/>
    <w:rsid w:val="0088529C"/>
    <w:rsid w:val="00885741"/>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15E9"/>
    <w:rsid w:val="008D2DB6"/>
    <w:rsid w:val="008D4D1F"/>
    <w:rsid w:val="008E115C"/>
    <w:rsid w:val="008E1A90"/>
    <w:rsid w:val="008E5B45"/>
    <w:rsid w:val="008E5BBB"/>
    <w:rsid w:val="008E7B3D"/>
    <w:rsid w:val="008F098E"/>
    <w:rsid w:val="008F0D62"/>
    <w:rsid w:val="008F13CF"/>
    <w:rsid w:val="008F2907"/>
    <w:rsid w:val="008F5025"/>
    <w:rsid w:val="0090191B"/>
    <w:rsid w:val="00902091"/>
    <w:rsid w:val="00902E64"/>
    <w:rsid w:val="009032EE"/>
    <w:rsid w:val="009035A9"/>
    <w:rsid w:val="00913DCA"/>
    <w:rsid w:val="0091713D"/>
    <w:rsid w:val="009178B6"/>
    <w:rsid w:val="009217FB"/>
    <w:rsid w:val="0092306D"/>
    <w:rsid w:val="0092541A"/>
    <w:rsid w:val="00930912"/>
    <w:rsid w:val="00931AAA"/>
    <w:rsid w:val="0093274D"/>
    <w:rsid w:val="00935D16"/>
    <w:rsid w:val="00940B84"/>
    <w:rsid w:val="009418D7"/>
    <w:rsid w:val="00945687"/>
    <w:rsid w:val="00951C3D"/>
    <w:rsid w:val="00961ECE"/>
    <w:rsid w:val="0096283D"/>
    <w:rsid w:val="00963518"/>
    <w:rsid w:val="00963C42"/>
    <w:rsid w:val="00967EAA"/>
    <w:rsid w:val="00975C2E"/>
    <w:rsid w:val="00975E21"/>
    <w:rsid w:val="009761EA"/>
    <w:rsid w:val="00976334"/>
    <w:rsid w:val="009764FC"/>
    <w:rsid w:val="00981CBB"/>
    <w:rsid w:val="00984384"/>
    <w:rsid w:val="009847C4"/>
    <w:rsid w:val="00986262"/>
    <w:rsid w:val="009870DD"/>
    <w:rsid w:val="009905AB"/>
    <w:rsid w:val="00992228"/>
    <w:rsid w:val="00995FF8"/>
    <w:rsid w:val="00997AB6"/>
    <w:rsid w:val="009A0B0E"/>
    <w:rsid w:val="009A2908"/>
    <w:rsid w:val="009A2F19"/>
    <w:rsid w:val="009A5026"/>
    <w:rsid w:val="009A66FA"/>
    <w:rsid w:val="009A700C"/>
    <w:rsid w:val="009A702D"/>
    <w:rsid w:val="009B0818"/>
    <w:rsid w:val="009B45EC"/>
    <w:rsid w:val="009B5DBF"/>
    <w:rsid w:val="009B7099"/>
    <w:rsid w:val="009B7AA2"/>
    <w:rsid w:val="009C0169"/>
    <w:rsid w:val="009C25C3"/>
    <w:rsid w:val="009C3CCA"/>
    <w:rsid w:val="009C4A60"/>
    <w:rsid w:val="009C704F"/>
    <w:rsid w:val="009C79EB"/>
    <w:rsid w:val="009D286D"/>
    <w:rsid w:val="009D34BF"/>
    <w:rsid w:val="009E0607"/>
    <w:rsid w:val="009E599A"/>
    <w:rsid w:val="009E6D41"/>
    <w:rsid w:val="009F23CF"/>
    <w:rsid w:val="009F33E3"/>
    <w:rsid w:val="009F43A6"/>
    <w:rsid w:val="009F5006"/>
    <w:rsid w:val="009F51A5"/>
    <w:rsid w:val="009F5361"/>
    <w:rsid w:val="009F55A0"/>
    <w:rsid w:val="00A00E01"/>
    <w:rsid w:val="00A010C9"/>
    <w:rsid w:val="00A016A5"/>
    <w:rsid w:val="00A0669B"/>
    <w:rsid w:val="00A075D1"/>
    <w:rsid w:val="00A113EC"/>
    <w:rsid w:val="00A12854"/>
    <w:rsid w:val="00A14406"/>
    <w:rsid w:val="00A242D5"/>
    <w:rsid w:val="00A26167"/>
    <w:rsid w:val="00A26BD0"/>
    <w:rsid w:val="00A303A3"/>
    <w:rsid w:val="00A330A7"/>
    <w:rsid w:val="00A34287"/>
    <w:rsid w:val="00A35250"/>
    <w:rsid w:val="00A37C73"/>
    <w:rsid w:val="00A4206E"/>
    <w:rsid w:val="00A427F3"/>
    <w:rsid w:val="00A43175"/>
    <w:rsid w:val="00A43A55"/>
    <w:rsid w:val="00A448A9"/>
    <w:rsid w:val="00A45F9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B11DD"/>
    <w:rsid w:val="00AB19C9"/>
    <w:rsid w:val="00AB1BEF"/>
    <w:rsid w:val="00AB1D8E"/>
    <w:rsid w:val="00AB53CD"/>
    <w:rsid w:val="00AB67D1"/>
    <w:rsid w:val="00AB7318"/>
    <w:rsid w:val="00AC2CFE"/>
    <w:rsid w:val="00AC3005"/>
    <w:rsid w:val="00AC4F11"/>
    <w:rsid w:val="00AC6AD2"/>
    <w:rsid w:val="00AD024C"/>
    <w:rsid w:val="00AD20E0"/>
    <w:rsid w:val="00AD2A33"/>
    <w:rsid w:val="00AD3C4F"/>
    <w:rsid w:val="00AD492B"/>
    <w:rsid w:val="00AD5D26"/>
    <w:rsid w:val="00AD7CD9"/>
    <w:rsid w:val="00AE27F6"/>
    <w:rsid w:val="00AE6EE2"/>
    <w:rsid w:val="00AE7A54"/>
    <w:rsid w:val="00AF0667"/>
    <w:rsid w:val="00AF0853"/>
    <w:rsid w:val="00AF1A7F"/>
    <w:rsid w:val="00AF384E"/>
    <w:rsid w:val="00AF4D64"/>
    <w:rsid w:val="00AF5072"/>
    <w:rsid w:val="00AF5CC2"/>
    <w:rsid w:val="00AF6A36"/>
    <w:rsid w:val="00B00DF6"/>
    <w:rsid w:val="00B02C88"/>
    <w:rsid w:val="00B039C8"/>
    <w:rsid w:val="00B03C64"/>
    <w:rsid w:val="00B07B0F"/>
    <w:rsid w:val="00B07B98"/>
    <w:rsid w:val="00B07FCB"/>
    <w:rsid w:val="00B105E2"/>
    <w:rsid w:val="00B10D33"/>
    <w:rsid w:val="00B11E84"/>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355E7"/>
    <w:rsid w:val="00B35DA8"/>
    <w:rsid w:val="00B43D02"/>
    <w:rsid w:val="00B45C5C"/>
    <w:rsid w:val="00B55C3C"/>
    <w:rsid w:val="00B60377"/>
    <w:rsid w:val="00B622FA"/>
    <w:rsid w:val="00B645EB"/>
    <w:rsid w:val="00B6690C"/>
    <w:rsid w:val="00B67B37"/>
    <w:rsid w:val="00B73FA2"/>
    <w:rsid w:val="00B75049"/>
    <w:rsid w:val="00B763E7"/>
    <w:rsid w:val="00B766CD"/>
    <w:rsid w:val="00B82BA5"/>
    <w:rsid w:val="00B84698"/>
    <w:rsid w:val="00B8734C"/>
    <w:rsid w:val="00B917E3"/>
    <w:rsid w:val="00B91FF8"/>
    <w:rsid w:val="00B94764"/>
    <w:rsid w:val="00B97F26"/>
    <w:rsid w:val="00BA169E"/>
    <w:rsid w:val="00BA300C"/>
    <w:rsid w:val="00BA38C3"/>
    <w:rsid w:val="00BA713E"/>
    <w:rsid w:val="00BA7C73"/>
    <w:rsid w:val="00BB1153"/>
    <w:rsid w:val="00BB263A"/>
    <w:rsid w:val="00BB331F"/>
    <w:rsid w:val="00BB67AC"/>
    <w:rsid w:val="00BC366F"/>
    <w:rsid w:val="00BC3DAA"/>
    <w:rsid w:val="00BC518A"/>
    <w:rsid w:val="00BD296A"/>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271E"/>
    <w:rsid w:val="00C33416"/>
    <w:rsid w:val="00C340E2"/>
    <w:rsid w:val="00C370D8"/>
    <w:rsid w:val="00C43E33"/>
    <w:rsid w:val="00C44ED4"/>
    <w:rsid w:val="00C45FF6"/>
    <w:rsid w:val="00C5200B"/>
    <w:rsid w:val="00C52A88"/>
    <w:rsid w:val="00C5310B"/>
    <w:rsid w:val="00C5509E"/>
    <w:rsid w:val="00C55159"/>
    <w:rsid w:val="00C55D82"/>
    <w:rsid w:val="00C561C6"/>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0797"/>
    <w:rsid w:val="00CE1BE0"/>
    <w:rsid w:val="00CE2A9B"/>
    <w:rsid w:val="00CE6304"/>
    <w:rsid w:val="00CF0687"/>
    <w:rsid w:val="00CF1B12"/>
    <w:rsid w:val="00CF4EAC"/>
    <w:rsid w:val="00CF5A72"/>
    <w:rsid w:val="00CF7E09"/>
    <w:rsid w:val="00D02476"/>
    <w:rsid w:val="00D04502"/>
    <w:rsid w:val="00D053CD"/>
    <w:rsid w:val="00D060E0"/>
    <w:rsid w:val="00D10AC8"/>
    <w:rsid w:val="00D11DEB"/>
    <w:rsid w:val="00D13A2D"/>
    <w:rsid w:val="00D16689"/>
    <w:rsid w:val="00D17734"/>
    <w:rsid w:val="00D206FF"/>
    <w:rsid w:val="00D22CFE"/>
    <w:rsid w:val="00D2453F"/>
    <w:rsid w:val="00D32920"/>
    <w:rsid w:val="00D355B3"/>
    <w:rsid w:val="00D36698"/>
    <w:rsid w:val="00D47087"/>
    <w:rsid w:val="00D47369"/>
    <w:rsid w:val="00D51BC3"/>
    <w:rsid w:val="00D53056"/>
    <w:rsid w:val="00D5486E"/>
    <w:rsid w:val="00D63CFA"/>
    <w:rsid w:val="00D70F1C"/>
    <w:rsid w:val="00D73343"/>
    <w:rsid w:val="00D74BE3"/>
    <w:rsid w:val="00D752C6"/>
    <w:rsid w:val="00D75DE3"/>
    <w:rsid w:val="00D76041"/>
    <w:rsid w:val="00D762DC"/>
    <w:rsid w:val="00D77443"/>
    <w:rsid w:val="00D81520"/>
    <w:rsid w:val="00D8313B"/>
    <w:rsid w:val="00D84C12"/>
    <w:rsid w:val="00D85F1D"/>
    <w:rsid w:val="00D9046F"/>
    <w:rsid w:val="00D93FBC"/>
    <w:rsid w:val="00D942CD"/>
    <w:rsid w:val="00D95F3D"/>
    <w:rsid w:val="00D9735B"/>
    <w:rsid w:val="00D97E33"/>
    <w:rsid w:val="00D97EBC"/>
    <w:rsid w:val="00DA11F8"/>
    <w:rsid w:val="00DA326B"/>
    <w:rsid w:val="00DA4DBD"/>
    <w:rsid w:val="00DA5C40"/>
    <w:rsid w:val="00DA78F3"/>
    <w:rsid w:val="00DB1C74"/>
    <w:rsid w:val="00DB4893"/>
    <w:rsid w:val="00DB4A9E"/>
    <w:rsid w:val="00DB5796"/>
    <w:rsid w:val="00DB664A"/>
    <w:rsid w:val="00DB749F"/>
    <w:rsid w:val="00DC072F"/>
    <w:rsid w:val="00DC1493"/>
    <w:rsid w:val="00DC1A95"/>
    <w:rsid w:val="00DD2489"/>
    <w:rsid w:val="00DE0364"/>
    <w:rsid w:val="00DE3E36"/>
    <w:rsid w:val="00DE64B1"/>
    <w:rsid w:val="00DE78B1"/>
    <w:rsid w:val="00DF145C"/>
    <w:rsid w:val="00DF21EC"/>
    <w:rsid w:val="00DF3A44"/>
    <w:rsid w:val="00DF3E25"/>
    <w:rsid w:val="00E0399A"/>
    <w:rsid w:val="00E03FFE"/>
    <w:rsid w:val="00E047BF"/>
    <w:rsid w:val="00E04E7B"/>
    <w:rsid w:val="00E063DA"/>
    <w:rsid w:val="00E064C3"/>
    <w:rsid w:val="00E0764C"/>
    <w:rsid w:val="00E103A2"/>
    <w:rsid w:val="00E11768"/>
    <w:rsid w:val="00E12BB5"/>
    <w:rsid w:val="00E152C3"/>
    <w:rsid w:val="00E215F9"/>
    <w:rsid w:val="00E21BF7"/>
    <w:rsid w:val="00E25E49"/>
    <w:rsid w:val="00E25FBA"/>
    <w:rsid w:val="00E26D05"/>
    <w:rsid w:val="00E27031"/>
    <w:rsid w:val="00E3027B"/>
    <w:rsid w:val="00E3478D"/>
    <w:rsid w:val="00E358AF"/>
    <w:rsid w:val="00E35A3F"/>
    <w:rsid w:val="00E36AFF"/>
    <w:rsid w:val="00E37509"/>
    <w:rsid w:val="00E377AD"/>
    <w:rsid w:val="00E40D9C"/>
    <w:rsid w:val="00E44F43"/>
    <w:rsid w:val="00E522F7"/>
    <w:rsid w:val="00E52617"/>
    <w:rsid w:val="00E52F37"/>
    <w:rsid w:val="00E5588F"/>
    <w:rsid w:val="00E55DA0"/>
    <w:rsid w:val="00E6288E"/>
    <w:rsid w:val="00E63685"/>
    <w:rsid w:val="00E65866"/>
    <w:rsid w:val="00E65D6D"/>
    <w:rsid w:val="00E75FF0"/>
    <w:rsid w:val="00E760D0"/>
    <w:rsid w:val="00E7677F"/>
    <w:rsid w:val="00E83347"/>
    <w:rsid w:val="00E836BC"/>
    <w:rsid w:val="00E861BF"/>
    <w:rsid w:val="00E87156"/>
    <w:rsid w:val="00E9040D"/>
    <w:rsid w:val="00E939A4"/>
    <w:rsid w:val="00E9516E"/>
    <w:rsid w:val="00E968F2"/>
    <w:rsid w:val="00EA3106"/>
    <w:rsid w:val="00EA3272"/>
    <w:rsid w:val="00EA3344"/>
    <w:rsid w:val="00EA4607"/>
    <w:rsid w:val="00EA5281"/>
    <w:rsid w:val="00EA52EE"/>
    <w:rsid w:val="00EB024F"/>
    <w:rsid w:val="00EB06BC"/>
    <w:rsid w:val="00EB0ACC"/>
    <w:rsid w:val="00EB1EE5"/>
    <w:rsid w:val="00EB1F60"/>
    <w:rsid w:val="00EB5D38"/>
    <w:rsid w:val="00EC3B38"/>
    <w:rsid w:val="00EC3D4C"/>
    <w:rsid w:val="00EC41B9"/>
    <w:rsid w:val="00EC4F75"/>
    <w:rsid w:val="00EC503F"/>
    <w:rsid w:val="00ED0681"/>
    <w:rsid w:val="00ED0D42"/>
    <w:rsid w:val="00ED2150"/>
    <w:rsid w:val="00ED38D4"/>
    <w:rsid w:val="00ED6D5F"/>
    <w:rsid w:val="00EE1461"/>
    <w:rsid w:val="00EE19B3"/>
    <w:rsid w:val="00EE3804"/>
    <w:rsid w:val="00EE3FFD"/>
    <w:rsid w:val="00EE524A"/>
    <w:rsid w:val="00EE7B58"/>
    <w:rsid w:val="00EF2C49"/>
    <w:rsid w:val="00EF2DAE"/>
    <w:rsid w:val="00EF5D39"/>
    <w:rsid w:val="00EF6E83"/>
    <w:rsid w:val="00EF76ED"/>
    <w:rsid w:val="00EF7FE7"/>
    <w:rsid w:val="00F00EEE"/>
    <w:rsid w:val="00F013AD"/>
    <w:rsid w:val="00F0173F"/>
    <w:rsid w:val="00F03976"/>
    <w:rsid w:val="00F044A8"/>
    <w:rsid w:val="00F04CA9"/>
    <w:rsid w:val="00F07C6B"/>
    <w:rsid w:val="00F12533"/>
    <w:rsid w:val="00F12D21"/>
    <w:rsid w:val="00F151E2"/>
    <w:rsid w:val="00F175F3"/>
    <w:rsid w:val="00F205B5"/>
    <w:rsid w:val="00F20EEE"/>
    <w:rsid w:val="00F252F4"/>
    <w:rsid w:val="00F2569F"/>
    <w:rsid w:val="00F258F1"/>
    <w:rsid w:val="00F27720"/>
    <w:rsid w:val="00F27A90"/>
    <w:rsid w:val="00F34732"/>
    <w:rsid w:val="00F44EC9"/>
    <w:rsid w:val="00F457A4"/>
    <w:rsid w:val="00F51218"/>
    <w:rsid w:val="00F548E9"/>
    <w:rsid w:val="00F56B7F"/>
    <w:rsid w:val="00F57984"/>
    <w:rsid w:val="00F63B73"/>
    <w:rsid w:val="00F6744E"/>
    <w:rsid w:val="00F8170C"/>
    <w:rsid w:val="00F820B1"/>
    <w:rsid w:val="00F826D5"/>
    <w:rsid w:val="00F84A84"/>
    <w:rsid w:val="00F85859"/>
    <w:rsid w:val="00F917F5"/>
    <w:rsid w:val="00F91CCE"/>
    <w:rsid w:val="00F943FB"/>
    <w:rsid w:val="00FA1077"/>
    <w:rsid w:val="00FA18F6"/>
    <w:rsid w:val="00FA1CE9"/>
    <w:rsid w:val="00FA1DC2"/>
    <w:rsid w:val="00FA340F"/>
    <w:rsid w:val="00FA38E5"/>
    <w:rsid w:val="00FA5CD4"/>
    <w:rsid w:val="00FA6441"/>
    <w:rsid w:val="00FB10A6"/>
    <w:rsid w:val="00FB2C72"/>
    <w:rsid w:val="00FB2D5B"/>
    <w:rsid w:val="00FB3E52"/>
    <w:rsid w:val="00FB3FB4"/>
    <w:rsid w:val="00FB4257"/>
    <w:rsid w:val="00FC25FA"/>
    <w:rsid w:val="00FC2F71"/>
    <w:rsid w:val="00FC3199"/>
    <w:rsid w:val="00FC4AE5"/>
    <w:rsid w:val="00FC5CE4"/>
    <w:rsid w:val="00FD5E7D"/>
    <w:rsid w:val="00FD677C"/>
    <w:rsid w:val="00FD7E8B"/>
    <w:rsid w:val="00FE0074"/>
    <w:rsid w:val="00FE34F8"/>
    <w:rsid w:val="00FE48A8"/>
    <w:rsid w:val="00FE57C1"/>
    <w:rsid w:val="00FE7197"/>
    <w:rsid w:val="00FE7392"/>
    <w:rsid w:val="00FE7B77"/>
    <w:rsid w:val="00FF265C"/>
    <w:rsid w:val="00FF7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A489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BD1"/>
    <w:pPr>
      <w:spacing w:after="160" w:line="259" w:lineRule="auto"/>
    </w:pPr>
    <w:rPr>
      <w:rFonts w:ascii="Calibri" w:eastAsia="Calibri" w:hAnsi="Calibr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semiHidden/>
    <w:unhideWhenUsed/>
    <w:rsid w:val="00767B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BD1"/>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link w:val="TALCar"/>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uiPriority w:val="99"/>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55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2307716">
      <w:bodyDiv w:val="1"/>
      <w:marLeft w:val="0"/>
      <w:marRight w:val="0"/>
      <w:marTop w:val="0"/>
      <w:marBottom w:val="0"/>
      <w:divBdr>
        <w:top w:val="none" w:sz="0" w:space="0" w:color="auto"/>
        <w:left w:val="none" w:sz="0" w:space="0" w:color="auto"/>
        <w:bottom w:val="none" w:sz="0" w:space="0" w:color="auto"/>
        <w:right w:val="none" w:sz="0" w:space="0" w:color="auto"/>
      </w:divBdr>
      <w:divsChild>
        <w:div w:id="336809890">
          <w:marLeft w:val="1080"/>
          <w:marRight w:val="0"/>
          <w:marTop w:val="77"/>
          <w:marBottom w:val="0"/>
          <w:divBdr>
            <w:top w:val="none" w:sz="0" w:space="0" w:color="auto"/>
            <w:left w:val="none" w:sz="0" w:space="0" w:color="auto"/>
            <w:bottom w:val="none" w:sz="0" w:space="0" w:color="auto"/>
            <w:right w:val="none" w:sz="0" w:space="0" w:color="auto"/>
          </w:divBdr>
        </w:div>
      </w:divsChild>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396048842">
      <w:bodyDiv w:val="1"/>
      <w:marLeft w:val="0"/>
      <w:marRight w:val="0"/>
      <w:marTop w:val="0"/>
      <w:marBottom w:val="0"/>
      <w:divBdr>
        <w:top w:val="none" w:sz="0" w:space="0" w:color="auto"/>
        <w:left w:val="none" w:sz="0" w:space="0" w:color="auto"/>
        <w:bottom w:val="none" w:sz="0" w:space="0" w:color="auto"/>
        <w:right w:val="none" w:sz="0" w:space="0" w:color="auto"/>
      </w:divBdr>
      <w:divsChild>
        <w:div w:id="1717583355">
          <w:marLeft w:val="0"/>
          <w:marRight w:val="0"/>
          <w:marTop w:val="0"/>
          <w:marBottom w:val="0"/>
          <w:divBdr>
            <w:top w:val="none" w:sz="0" w:space="0" w:color="auto"/>
            <w:left w:val="none" w:sz="0" w:space="0" w:color="auto"/>
            <w:bottom w:val="none" w:sz="0" w:space="0" w:color="auto"/>
            <w:right w:val="none" w:sz="0" w:space="0" w:color="auto"/>
          </w:divBdr>
        </w:div>
        <w:div w:id="1607498351">
          <w:marLeft w:val="0"/>
          <w:marRight w:val="0"/>
          <w:marTop w:val="0"/>
          <w:marBottom w:val="0"/>
          <w:divBdr>
            <w:top w:val="none" w:sz="0" w:space="0" w:color="auto"/>
            <w:left w:val="none" w:sz="0" w:space="0" w:color="auto"/>
            <w:bottom w:val="none" w:sz="0" w:space="0" w:color="auto"/>
            <w:right w:val="none" w:sz="0" w:space="0" w:color="auto"/>
          </w:divBdr>
        </w:div>
        <w:div w:id="775101292">
          <w:marLeft w:val="0"/>
          <w:marRight w:val="0"/>
          <w:marTop w:val="0"/>
          <w:marBottom w:val="0"/>
          <w:divBdr>
            <w:top w:val="none" w:sz="0" w:space="0" w:color="auto"/>
            <w:left w:val="none" w:sz="0" w:space="0" w:color="auto"/>
            <w:bottom w:val="none" w:sz="0" w:space="0" w:color="auto"/>
            <w:right w:val="none" w:sz="0" w:space="0" w:color="auto"/>
          </w:divBdr>
        </w:div>
      </w:divsChild>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2018-02-15T05:36:00Z</dcterms:created>
  <dcterms:modified xsi:type="dcterms:W3CDTF">2018-02-16T14:05:00Z</dcterms:modified>
</cp:coreProperties>
</file>